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483E" w14:textId="77777777" w:rsidR="00150249" w:rsidRPr="00150249" w:rsidRDefault="00150249" w:rsidP="00150249">
      <w:pPr>
        <w:jc w:val="center"/>
        <w:rPr>
          <w:rStyle w:val="Strong"/>
          <w:rFonts w:ascii="Arial" w:hAnsi="Arial" w:cs="Arial"/>
          <w:color w:val="333333"/>
          <w:sz w:val="32"/>
          <w:szCs w:val="32"/>
          <w:shd w:val="clear" w:color="auto" w:fill="FFFFFF"/>
        </w:rPr>
      </w:pPr>
      <w:r w:rsidRPr="00150249">
        <w:rPr>
          <w:rStyle w:val="Strong"/>
          <w:rFonts w:ascii="Arial" w:hAnsi="Arial" w:cs="Arial" w:hint="eastAsia"/>
          <w:color w:val="333333"/>
          <w:sz w:val="32"/>
          <w:szCs w:val="32"/>
          <w:shd w:val="clear" w:color="auto" w:fill="FFFFFF"/>
        </w:rPr>
        <w:t>3.15</w:t>
      </w:r>
      <w:r w:rsidRPr="00150249">
        <w:rPr>
          <w:rStyle w:val="Strong"/>
          <w:rFonts w:ascii="Arial" w:hAnsi="Arial" w:cs="Arial" w:hint="eastAsia"/>
          <w:color w:val="333333"/>
          <w:sz w:val="32"/>
          <w:szCs w:val="32"/>
          <w:shd w:val="clear" w:color="auto" w:fill="FFFFFF"/>
        </w:rPr>
        <w:t>保护投资者合法权益我们在行动</w:t>
      </w:r>
      <w:bookmarkStart w:id="0" w:name="_GoBack"/>
      <w:bookmarkEnd w:id="0"/>
    </w:p>
    <w:p w14:paraId="0E1C22DB" w14:textId="77777777" w:rsidR="00150249" w:rsidRDefault="00150249" w:rsidP="00B70939">
      <w:pPr>
        <w:rPr>
          <w:rStyle w:val="Strong"/>
          <w:rFonts w:ascii="Arial" w:hAnsi="Arial" w:cs="Arial"/>
          <w:color w:val="333333"/>
          <w:sz w:val="21"/>
          <w:szCs w:val="21"/>
          <w:shd w:val="clear" w:color="auto" w:fill="FFFFFF"/>
        </w:rPr>
      </w:pPr>
    </w:p>
    <w:p w14:paraId="6871E51A" w14:textId="77777777" w:rsidR="00774412" w:rsidRPr="00150249" w:rsidRDefault="00774412" w:rsidP="00B70939">
      <w:pPr>
        <w:pStyle w:val="ListParagraph"/>
        <w:numPr>
          <w:ilvl w:val="0"/>
          <w:numId w:val="20"/>
        </w:numPr>
        <w:rPr>
          <w:rStyle w:val="Strong"/>
          <w:rFonts w:ascii="Arial" w:hAnsi="Arial" w:cs="Arial"/>
          <w:color w:val="333333"/>
          <w:sz w:val="21"/>
          <w:szCs w:val="21"/>
          <w:shd w:val="clear" w:color="auto" w:fill="FFFFFF"/>
        </w:rPr>
      </w:pPr>
      <w:r w:rsidRPr="00150249">
        <w:rPr>
          <w:rStyle w:val="Strong"/>
          <w:rFonts w:ascii="Arial" w:hAnsi="Arial" w:cs="Arial"/>
          <w:color w:val="333333"/>
          <w:sz w:val="21"/>
          <w:szCs w:val="21"/>
          <w:shd w:val="clear" w:color="auto" w:fill="FFFFFF"/>
        </w:rPr>
        <w:t>关于进一步提高上市公司质量的意见</w:t>
      </w:r>
    </w:p>
    <w:p w14:paraId="746F0377" w14:textId="6149DBD6" w:rsidR="00774412" w:rsidRPr="00774412" w:rsidRDefault="00774412" w:rsidP="00774412">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一</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提高上市公司治理水平。</w:t>
      </w:r>
      <w:r w:rsidR="00E468B2" w:rsidRPr="00E468B2">
        <w:rPr>
          <w:rFonts w:ascii="仿宋" w:eastAsia="仿宋" w:hAnsi="仿宋" w:cs="Arial" w:hint="eastAsia"/>
          <w:color w:val="333333"/>
          <w:sz w:val="21"/>
          <w:szCs w:val="21"/>
        </w:rPr>
        <w:t>规范公司治理和内部控制</w:t>
      </w:r>
      <w:r w:rsidR="00E468B2">
        <w:rPr>
          <w:rFonts w:ascii="仿宋" w:eastAsia="仿宋" w:hAnsi="仿宋" w:cs="Arial" w:hint="eastAsia"/>
          <w:color w:val="333333"/>
          <w:sz w:val="21"/>
          <w:szCs w:val="21"/>
        </w:rPr>
        <w:t>。</w:t>
      </w:r>
      <w:r w:rsidRPr="00774412">
        <w:rPr>
          <w:rFonts w:ascii="仿宋" w:eastAsia="仿宋" w:hAnsi="仿宋" w:cs="Arial"/>
          <w:color w:val="333333"/>
          <w:sz w:val="21"/>
          <w:szCs w:val="21"/>
        </w:rPr>
        <w:t>完善公司治理制度规则，明确控股股东、实际控制人、董事、监事和高级管理人员的职责界限和法律责任，健全机构投资者参与公司治理的渠道和方式，加快推行内控规范体系，强化上市公司治理底线要求，切实提高公司治理水平。</w:t>
      </w:r>
      <w:r w:rsidR="00E468B2">
        <w:rPr>
          <w:rFonts w:ascii="仿宋" w:eastAsia="仿宋" w:hAnsi="仿宋" w:cs="Arial" w:hint="eastAsia"/>
          <w:color w:val="333333"/>
          <w:sz w:val="21"/>
          <w:szCs w:val="21"/>
        </w:rPr>
        <w:t>提升</w:t>
      </w:r>
      <w:r w:rsidRPr="00774412">
        <w:rPr>
          <w:rFonts w:ascii="仿宋" w:eastAsia="仿宋" w:hAnsi="仿宋" w:cs="Arial"/>
          <w:color w:val="333333"/>
          <w:sz w:val="21"/>
          <w:szCs w:val="21"/>
        </w:rPr>
        <w:t>信息披露标准，增强信息披露针对性和有效性。</w:t>
      </w:r>
    </w:p>
    <w:p w14:paraId="61E4D115" w14:textId="479CC554" w:rsidR="00774412" w:rsidRPr="00774412" w:rsidRDefault="00774412" w:rsidP="00774412">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二</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推动上市公司做优做强。</w:t>
      </w:r>
      <w:r w:rsidR="00E468B2" w:rsidRPr="00E468B2">
        <w:rPr>
          <w:rFonts w:ascii="仿宋" w:eastAsia="仿宋" w:hAnsi="仿宋" w:cs="Arial" w:hint="eastAsia"/>
          <w:color w:val="333333"/>
          <w:sz w:val="21"/>
          <w:szCs w:val="21"/>
        </w:rPr>
        <w:t>支持优质企业上市</w:t>
      </w:r>
      <w:r w:rsidR="00E468B2">
        <w:rPr>
          <w:rFonts w:ascii="仿宋" w:eastAsia="仿宋" w:hAnsi="仿宋" w:cs="Arial" w:hint="eastAsia"/>
          <w:color w:val="333333"/>
          <w:sz w:val="21"/>
          <w:szCs w:val="21"/>
        </w:rPr>
        <w:t>。</w:t>
      </w:r>
      <w:r w:rsidR="00E468B2">
        <w:rPr>
          <w:rFonts w:ascii="仿宋" w:eastAsia="仿宋" w:hAnsi="仿宋" w:cs="Arial"/>
          <w:color w:val="333333"/>
          <w:sz w:val="21"/>
          <w:szCs w:val="21"/>
        </w:rPr>
        <w:t>全面推行、分步实施证券发行注册制</w:t>
      </w:r>
      <w:r w:rsidRPr="00774412">
        <w:rPr>
          <w:rFonts w:ascii="仿宋" w:eastAsia="仿宋" w:hAnsi="仿宋" w:cs="Arial"/>
          <w:color w:val="333333"/>
          <w:sz w:val="21"/>
          <w:szCs w:val="21"/>
        </w:rPr>
        <w:t>。</w:t>
      </w:r>
      <w:r w:rsidR="00E468B2" w:rsidRPr="00E468B2">
        <w:rPr>
          <w:rFonts w:ascii="仿宋" w:eastAsia="仿宋" w:hAnsi="仿宋" w:cs="Arial" w:hint="eastAsia"/>
          <w:color w:val="333333"/>
          <w:sz w:val="21"/>
          <w:szCs w:val="21"/>
        </w:rPr>
        <w:t>完善上市公司融资制度。加强资本市场融资端和投</w:t>
      </w:r>
      <w:r w:rsidR="00E468B2">
        <w:rPr>
          <w:rFonts w:ascii="仿宋" w:eastAsia="仿宋" w:hAnsi="仿宋" w:cs="Arial" w:hint="eastAsia"/>
          <w:color w:val="333333"/>
          <w:sz w:val="21"/>
          <w:szCs w:val="21"/>
        </w:rPr>
        <w:t>资端的协调平衡，引导上市公司兼顾发展需要和市场状况优化融资安排</w:t>
      </w:r>
      <w:r w:rsidRPr="00774412">
        <w:rPr>
          <w:rFonts w:ascii="仿宋" w:eastAsia="仿宋" w:hAnsi="仿宋" w:cs="Arial"/>
          <w:color w:val="333333"/>
          <w:sz w:val="21"/>
          <w:szCs w:val="21"/>
        </w:rPr>
        <w:t>。探索建立对机构投资者的长周期考核机制，吸引更多中长期资金入市。健全激励约束机制。</w:t>
      </w:r>
    </w:p>
    <w:p w14:paraId="50BDA2A9" w14:textId="3EF7D7C7" w:rsidR="00E468B2" w:rsidRDefault="00774412" w:rsidP="00774412">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三</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健全上市公司退出机制。严格退市监管，完善退市标准，简化退市程序，</w:t>
      </w:r>
      <w:r w:rsidR="00E468B2" w:rsidRPr="00E468B2">
        <w:rPr>
          <w:rFonts w:ascii="仿宋" w:eastAsia="仿宋" w:hAnsi="仿宋" w:cs="Arial" w:hint="eastAsia"/>
          <w:color w:val="333333"/>
          <w:sz w:val="21"/>
          <w:szCs w:val="21"/>
        </w:rPr>
        <w:t>加大对违法违规主体的责任追究力度。支持投资者依法维权，保护投资者合法权益。拓宽多元化退出渠道。完善并购重组和破产重整等制度</w:t>
      </w:r>
      <w:r w:rsidR="00E468B2">
        <w:rPr>
          <w:rFonts w:ascii="仿宋" w:eastAsia="仿宋" w:hAnsi="仿宋" w:cs="Arial" w:hint="eastAsia"/>
          <w:color w:val="333333"/>
          <w:sz w:val="21"/>
          <w:szCs w:val="21"/>
        </w:rPr>
        <w:t>。</w:t>
      </w:r>
      <w:r w:rsidR="00E468B2" w:rsidRPr="00E468B2">
        <w:rPr>
          <w:rFonts w:ascii="仿宋" w:eastAsia="仿宋" w:hAnsi="仿宋" w:cs="Arial" w:hint="eastAsia"/>
          <w:color w:val="333333"/>
          <w:sz w:val="21"/>
          <w:szCs w:val="21"/>
        </w:rPr>
        <w:t>支持上市公司通过并购重组、破产重整等方式出清风险。</w:t>
      </w:r>
    </w:p>
    <w:p w14:paraId="0C91E8AE" w14:textId="770F99FF" w:rsidR="00774412" w:rsidRPr="00774412" w:rsidRDefault="00774412" w:rsidP="00774412">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四</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解决上市公司突出问题。积极稳妥化解上市公司股票质押风险，坚持控制增量、化解存量，强化场内外一致性监管。</w:t>
      </w:r>
      <w:r w:rsidR="001D5E39" w:rsidRPr="001D5E39">
        <w:rPr>
          <w:rFonts w:ascii="仿宋" w:eastAsia="仿宋" w:hAnsi="仿宋" w:cs="Arial" w:hint="eastAsia"/>
          <w:color w:val="333333"/>
          <w:sz w:val="21"/>
          <w:szCs w:val="21"/>
        </w:rPr>
        <w:t>严肃处置资金占用、违规担保问题。</w:t>
      </w:r>
      <w:r w:rsidRPr="00774412">
        <w:rPr>
          <w:rFonts w:ascii="仿宋" w:eastAsia="仿宋" w:hAnsi="仿宋" w:cs="Arial"/>
          <w:color w:val="333333"/>
          <w:sz w:val="21"/>
          <w:szCs w:val="21"/>
        </w:rPr>
        <w:t>对已形成的资金占用、违规担保问题，要限期予以清偿或化解。强化应对重大突发事件政策支持。</w:t>
      </w:r>
    </w:p>
    <w:p w14:paraId="54980B8A" w14:textId="77777777" w:rsidR="00774412" w:rsidRPr="00774412" w:rsidRDefault="00774412" w:rsidP="00774412">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五</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提高上市公司及相关主体违法违规成本。加大对欺诈发行、信息披露违法、操纵市场、内幕交易等违法违规行为的处罚力度。推动增加法制供给，加重财务造假、资金占用等违法违规行为的行政、刑事法律责任，完善证券民事诉讼和赔偿制度，支持投资者保护机构依法作为代表人参加诉讼。</w:t>
      </w:r>
    </w:p>
    <w:p w14:paraId="51D2A5A7" w14:textId="53AB6E6F" w:rsidR="00150249" w:rsidRDefault="00774412" w:rsidP="00B90776">
      <w:pPr>
        <w:shd w:val="clear" w:color="auto" w:fill="FFFFFF"/>
        <w:spacing w:line="360" w:lineRule="atLeast"/>
        <w:ind w:firstLine="480"/>
        <w:rPr>
          <w:rFonts w:ascii="仿宋" w:eastAsia="仿宋" w:hAnsi="仿宋" w:cs="Arial"/>
          <w:color w:val="333333"/>
          <w:sz w:val="21"/>
          <w:szCs w:val="21"/>
        </w:rPr>
      </w:pPr>
      <w:r w:rsidRPr="00774412">
        <w:rPr>
          <w:rFonts w:ascii="仿宋" w:eastAsia="仿宋" w:hAnsi="仿宋" w:cs="Arial"/>
          <w:color w:val="333333"/>
          <w:sz w:val="21"/>
          <w:szCs w:val="21"/>
        </w:rPr>
        <w:t>六</w:t>
      </w:r>
      <w:r w:rsidR="00573493">
        <w:rPr>
          <w:rFonts w:ascii="仿宋" w:eastAsia="仿宋" w:hAnsi="仿宋" w:cs="Arial" w:hint="eastAsia"/>
          <w:color w:val="333333"/>
          <w:sz w:val="21"/>
          <w:szCs w:val="21"/>
        </w:rPr>
        <w:t>、</w:t>
      </w:r>
      <w:r w:rsidRPr="00774412">
        <w:rPr>
          <w:rFonts w:ascii="仿宋" w:eastAsia="仿宋" w:hAnsi="仿宋" w:cs="Arial"/>
          <w:color w:val="333333"/>
          <w:sz w:val="21"/>
          <w:szCs w:val="21"/>
        </w:rPr>
        <w:t>形成提高上市公司质量的工作合力。持续提升监管效能</w:t>
      </w:r>
      <w:r w:rsidR="001D5E39">
        <w:rPr>
          <w:rFonts w:ascii="仿宋" w:eastAsia="仿宋" w:hAnsi="仿宋" w:cs="Arial" w:hint="eastAsia"/>
          <w:color w:val="333333"/>
          <w:sz w:val="21"/>
          <w:szCs w:val="21"/>
        </w:rPr>
        <w:t>。</w:t>
      </w:r>
      <w:r w:rsidRPr="00774412">
        <w:rPr>
          <w:rFonts w:ascii="仿宋" w:eastAsia="仿宋" w:hAnsi="仿宋" w:cs="Arial"/>
          <w:color w:val="333333"/>
          <w:sz w:val="21"/>
          <w:szCs w:val="21"/>
        </w:rPr>
        <w:t>强化上市公司主体责任</w:t>
      </w:r>
      <w:r w:rsidR="001D5E39">
        <w:rPr>
          <w:rFonts w:ascii="仿宋" w:eastAsia="仿宋" w:hAnsi="仿宋" w:cs="Arial" w:hint="eastAsia"/>
          <w:color w:val="333333"/>
          <w:sz w:val="21"/>
          <w:szCs w:val="21"/>
        </w:rPr>
        <w:t>。</w:t>
      </w:r>
      <w:r w:rsidR="001D5E39" w:rsidRPr="001D5E39">
        <w:rPr>
          <w:rFonts w:ascii="仿宋" w:eastAsia="仿宋" w:hAnsi="仿宋" w:cs="Arial" w:hint="eastAsia"/>
          <w:color w:val="333333"/>
          <w:sz w:val="21"/>
          <w:szCs w:val="21"/>
        </w:rPr>
        <w:t>督促中介机构归位尽责。</w:t>
      </w:r>
      <w:r w:rsidRPr="00774412">
        <w:rPr>
          <w:rFonts w:ascii="仿宋" w:eastAsia="仿宋" w:hAnsi="仿宋" w:cs="Arial"/>
          <w:color w:val="333333"/>
          <w:sz w:val="21"/>
          <w:szCs w:val="21"/>
        </w:rPr>
        <w:t>完善上市公司综合监管体系，建立健全信息共享机制，共同营造支持上市公司高质量发展的良好环境。</w:t>
      </w:r>
    </w:p>
    <w:p w14:paraId="1929DC86" w14:textId="77777777" w:rsidR="00774412" w:rsidRDefault="00774412" w:rsidP="00B70939">
      <w:pPr>
        <w:shd w:val="clear" w:color="auto" w:fill="FFFFFF"/>
        <w:spacing w:line="360" w:lineRule="atLeast"/>
        <w:rPr>
          <w:rFonts w:ascii="仿宋" w:eastAsia="仿宋" w:hAnsi="仿宋" w:cs="Arial"/>
          <w:color w:val="333333"/>
          <w:sz w:val="21"/>
          <w:szCs w:val="21"/>
        </w:rPr>
      </w:pPr>
    </w:p>
    <w:p w14:paraId="75FDC6E2" w14:textId="77777777" w:rsidR="00774412" w:rsidRPr="00573493" w:rsidRDefault="00573493" w:rsidP="00573493">
      <w:pPr>
        <w:pStyle w:val="ListParagraph"/>
        <w:numPr>
          <w:ilvl w:val="0"/>
          <w:numId w:val="20"/>
        </w:numPr>
        <w:rPr>
          <w:rStyle w:val="Strong"/>
          <w:rFonts w:ascii="Arial" w:hAnsi="Arial" w:cs="Arial"/>
          <w:color w:val="333333"/>
          <w:sz w:val="21"/>
          <w:szCs w:val="21"/>
          <w:shd w:val="clear" w:color="auto" w:fill="FFFFFF"/>
        </w:rPr>
      </w:pPr>
      <w:r>
        <w:rPr>
          <w:rStyle w:val="Strong"/>
          <w:rFonts w:ascii="Arial" w:hAnsi="Arial" w:cs="Arial" w:hint="eastAsia"/>
          <w:color w:val="333333"/>
          <w:sz w:val="21"/>
          <w:szCs w:val="21"/>
          <w:shd w:val="clear" w:color="auto" w:fill="FFFFFF"/>
        </w:rPr>
        <w:t>退市新规</w:t>
      </w:r>
      <w:r w:rsidR="00774412" w:rsidRPr="00573493">
        <w:rPr>
          <w:rStyle w:val="Strong"/>
          <w:rFonts w:ascii="Arial" w:hAnsi="Arial" w:cs="Arial" w:hint="eastAsia"/>
          <w:color w:val="333333"/>
          <w:sz w:val="21"/>
          <w:szCs w:val="21"/>
          <w:shd w:val="clear" w:color="auto" w:fill="FFFFFF"/>
        </w:rPr>
        <w:t>主要修订点如下：</w:t>
      </w:r>
    </w:p>
    <w:p w14:paraId="23C3D3E0" w14:textId="77777777" w:rsidR="00774412" w:rsidRPr="00774412" w:rsidRDefault="00774412" w:rsidP="00774412">
      <w:pPr>
        <w:rPr>
          <w:rFonts w:ascii="仿宋" w:eastAsia="仿宋" w:hAnsi="仿宋"/>
        </w:rPr>
      </w:pPr>
    </w:p>
    <w:p w14:paraId="25246F44" w14:textId="257DE8F9" w:rsidR="0022074C" w:rsidRP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2020年3月，新证券法正式施行，删除暂停上市、终止上市相关规定，围绕新一轮退市制度改革，2020年12月31日，沪深交易所正式发布新修订的上市规则等配套规则，对退市指标、退市流程、风险警示情形及退市相关交易安排等进一步完善优化，引导形成“有进有退、进退有序”良好市场生态。以下为退市新规修订要点：</w:t>
      </w:r>
    </w:p>
    <w:p w14:paraId="00B9DA8C" w14:textId="2EE7CA6E" w:rsidR="00B2605B"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一是财务类指标方面，取消了原来单一的净利润、营业收入指标，新增扣非前后净利润孰低者为负且营业收入低于人民币1亿元的组合财务指标，同时对因财务类指标被实施退市风险警示的公司，下一年度财务类指标进行交叉适用；</w:t>
      </w:r>
    </w:p>
    <w:p w14:paraId="0D4DA812" w14:textId="7FBAEE7C"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二是交易类指标方面，将原来的面值退市指标修改为“1元退市”指标，同时新增“连续20个交易日在本所的每日股票收盘总市值均低于人民币3亿元”的市值指标；</w:t>
      </w:r>
    </w:p>
    <w:p w14:paraId="415BF838" w14:textId="43CEFDF6"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三是规范类指标方面，新增信息披露、规范运作存在重大缺陷且拒不改正和半数以上董事对于半年报或年报不保真且限期内不改正两类情形，并细化具体标准；</w:t>
      </w:r>
    </w:p>
    <w:p w14:paraId="76F1A347" w14:textId="46D9DAEB"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四是重大违法类指标方面，在保留原欺诈发行、欺诈重组上市、根据行政处罚认定的事实公司实际财务指标已经触及退市标准的条款的基础上，进一步增加并明确重大财务造假退市量化标准。</w:t>
      </w:r>
    </w:p>
    <w:p w14:paraId="2D37EED6" w14:textId="77777777" w:rsidR="0022074C" w:rsidRDefault="0022074C" w:rsidP="0022074C">
      <w:pPr>
        <w:shd w:val="clear" w:color="auto" w:fill="FFFFFF"/>
        <w:spacing w:line="360" w:lineRule="atLeast"/>
        <w:ind w:firstLine="480"/>
        <w:rPr>
          <w:rFonts w:ascii="仿宋" w:eastAsia="仿宋" w:hAnsi="仿宋"/>
        </w:rPr>
      </w:pPr>
      <w:r>
        <w:rPr>
          <w:rFonts w:ascii="仿宋" w:eastAsia="仿宋" w:hAnsi="仿宋" w:hint="eastAsia"/>
        </w:rPr>
        <w:lastRenderedPageBreak/>
        <w:t>在</w:t>
      </w:r>
      <w:r w:rsidRPr="0022074C">
        <w:rPr>
          <w:rFonts w:ascii="仿宋" w:eastAsia="仿宋" w:hAnsi="仿宋" w:hint="eastAsia"/>
        </w:rPr>
        <w:t>退市程序上，本次修订调整主要包括以下3个方面：</w:t>
      </w:r>
    </w:p>
    <w:p w14:paraId="67FEB46F" w14:textId="77777777"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一是取消暂停上市和恢复上市环节，明确上市公司连续两年触及财务类指标即终止上市；</w:t>
      </w:r>
    </w:p>
    <w:p w14:paraId="0995F4EA" w14:textId="77777777"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二是取消交易类退市情形的退市整理期设置，退市整理期首日不设涨跌幅限制，将退市整理期交易时限从30个交易日缩短为15个交易日；</w:t>
      </w:r>
    </w:p>
    <w:p w14:paraId="2EB03640" w14:textId="5A6D87A3" w:rsidR="0022074C" w:rsidRDefault="0022074C" w:rsidP="0022074C">
      <w:pPr>
        <w:shd w:val="clear" w:color="auto" w:fill="FFFFFF"/>
        <w:spacing w:line="360" w:lineRule="atLeast"/>
        <w:ind w:firstLine="480"/>
        <w:rPr>
          <w:rFonts w:ascii="仿宋" w:eastAsia="仿宋" w:hAnsi="仿宋"/>
        </w:rPr>
      </w:pPr>
      <w:r w:rsidRPr="0022074C">
        <w:rPr>
          <w:rFonts w:ascii="仿宋" w:eastAsia="仿宋" w:hAnsi="仿宋" w:hint="eastAsia"/>
        </w:rPr>
        <w:t>三是将重大违法类退市连续停牌时点从收到行政处罚事先告知书或法院判决之日，延后到收到行政处罚决定书或法院生效判决之日。</w:t>
      </w:r>
    </w:p>
    <w:p w14:paraId="36F94B89" w14:textId="77777777" w:rsidR="00B90776" w:rsidRDefault="00B90776" w:rsidP="0022074C">
      <w:pPr>
        <w:shd w:val="clear" w:color="auto" w:fill="FFFFFF"/>
        <w:spacing w:line="360" w:lineRule="atLeast"/>
        <w:ind w:firstLine="480"/>
        <w:rPr>
          <w:rFonts w:ascii="仿宋" w:eastAsia="仿宋" w:hAnsi="仿宋" w:hint="eastAsia"/>
        </w:rPr>
      </w:pPr>
    </w:p>
    <w:p w14:paraId="7501DC23" w14:textId="77777777" w:rsidR="00B2605B" w:rsidRPr="00150249" w:rsidRDefault="00B2605B" w:rsidP="00B2605B">
      <w:pPr>
        <w:pStyle w:val="ListParagraph"/>
        <w:numPr>
          <w:ilvl w:val="0"/>
          <w:numId w:val="20"/>
        </w:numPr>
        <w:rPr>
          <w:rFonts w:ascii="仿宋" w:eastAsia="仿宋" w:hAnsi="仿宋"/>
        </w:rPr>
      </w:pPr>
      <w:r w:rsidRPr="00150249">
        <w:rPr>
          <w:rStyle w:val="Strong"/>
          <w:rFonts w:ascii="Arial" w:hAnsi="Arial" w:cs="Arial"/>
          <w:color w:val="333333"/>
          <w:sz w:val="21"/>
          <w:szCs w:val="21"/>
          <w:shd w:val="clear" w:color="auto" w:fill="FFFFFF"/>
        </w:rPr>
        <w:t>深交所主板和中小板合并事项</w:t>
      </w:r>
    </w:p>
    <w:p w14:paraId="63671C28" w14:textId="77777777" w:rsidR="00B2605B" w:rsidRDefault="00B2605B" w:rsidP="00150249">
      <w:pPr>
        <w:pStyle w:val="ListParagraph"/>
        <w:rPr>
          <w:rFonts w:ascii="仿宋" w:eastAsia="仿宋" w:hAnsi="仿宋"/>
        </w:rPr>
      </w:pPr>
    </w:p>
    <w:p w14:paraId="05B01010" w14:textId="77777777" w:rsidR="00B2605B" w:rsidRDefault="00B2605B" w:rsidP="00150249">
      <w:pPr>
        <w:shd w:val="clear" w:color="auto" w:fill="FFFFFF"/>
        <w:spacing w:line="360" w:lineRule="atLeast"/>
        <w:ind w:firstLine="480"/>
        <w:rPr>
          <w:rFonts w:ascii="仿宋" w:eastAsia="仿宋" w:hAnsi="仿宋"/>
        </w:rPr>
      </w:pPr>
      <w:r>
        <w:rPr>
          <w:rFonts w:ascii="仿宋" w:eastAsia="仿宋" w:hAnsi="仿宋" w:hint="eastAsia"/>
        </w:rPr>
        <w:t>2月5日，证监会批准深交所主板与中小板合并。要点如下：</w:t>
      </w:r>
    </w:p>
    <w:p w14:paraId="4E64EE02" w14:textId="77777777" w:rsidR="00B2605B" w:rsidRPr="00B2605B" w:rsidRDefault="00150249" w:rsidP="00150249">
      <w:pPr>
        <w:shd w:val="clear" w:color="auto" w:fill="FFFFFF"/>
        <w:spacing w:line="360" w:lineRule="atLeast"/>
        <w:ind w:firstLine="480"/>
        <w:rPr>
          <w:rFonts w:ascii="仿宋" w:eastAsia="仿宋" w:hAnsi="仿宋"/>
        </w:rPr>
      </w:pPr>
      <w:r>
        <w:rPr>
          <w:rFonts w:ascii="仿宋" w:eastAsia="仿宋" w:hAnsi="仿宋" w:hint="eastAsia"/>
        </w:rPr>
        <w:t>一、</w:t>
      </w:r>
      <w:r w:rsidR="00B2605B" w:rsidRPr="00B2605B">
        <w:rPr>
          <w:rFonts w:ascii="仿宋" w:eastAsia="仿宋" w:hAnsi="仿宋" w:hint="eastAsia"/>
        </w:rPr>
        <w:t>主板支持相对成熟的企业融资发展、做优做强；创业板主要服务于成长型创新创业企业，突出“三创”“四新”；</w:t>
      </w:r>
    </w:p>
    <w:p w14:paraId="110BA569" w14:textId="2720B3D3" w:rsidR="00B2605B" w:rsidRDefault="00150249" w:rsidP="00150249">
      <w:pPr>
        <w:shd w:val="clear" w:color="auto" w:fill="FFFFFF"/>
        <w:spacing w:line="360" w:lineRule="atLeast"/>
        <w:ind w:firstLine="480"/>
        <w:rPr>
          <w:rFonts w:ascii="仿宋" w:eastAsia="仿宋" w:hAnsi="仿宋"/>
        </w:rPr>
      </w:pPr>
      <w:r>
        <w:rPr>
          <w:rFonts w:ascii="仿宋" w:eastAsia="仿宋" w:hAnsi="仿宋" w:hint="eastAsia"/>
        </w:rPr>
        <w:t>二、</w:t>
      </w:r>
      <w:r w:rsidR="00B2605B" w:rsidRPr="00B2605B">
        <w:rPr>
          <w:rFonts w:ascii="仿宋" w:eastAsia="仿宋" w:hAnsi="仿宋" w:hint="eastAsia"/>
        </w:rPr>
        <w:t>两板合并遵循了“两个统一，四个不变”的改革思路，即统一业务规则，统一运行监管模式，保持发行上市条件不变，投资者门槛不变，交易</w:t>
      </w:r>
      <w:r w:rsidR="004D3729">
        <w:rPr>
          <w:rFonts w:ascii="仿宋" w:eastAsia="仿宋" w:hAnsi="仿宋" w:hint="eastAsia"/>
        </w:rPr>
        <w:t>机制</w:t>
      </w:r>
      <w:r w:rsidR="00B2605B" w:rsidRPr="00B2605B">
        <w:rPr>
          <w:rFonts w:ascii="仿宋" w:eastAsia="仿宋" w:hAnsi="仿宋" w:hint="eastAsia"/>
        </w:rPr>
        <w:t>不变，原主板、中小板上市公司的证券代码及简称不变。</w:t>
      </w:r>
    </w:p>
    <w:p w14:paraId="06D56917" w14:textId="77777777" w:rsidR="00B2605B" w:rsidRPr="00B2605B" w:rsidRDefault="00150249" w:rsidP="00150249">
      <w:pPr>
        <w:shd w:val="clear" w:color="auto" w:fill="FFFFFF"/>
        <w:spacing w:line="360" w:lineRule="atLeast"/>
        <w:ind w:firstLine="480"/>
        <w:rPr>
          <w:rFonts w:ascii="仿宋" w:eastAsia="仿宋" w:hAnsi="仿宋"/>
        </w:rPr>
      </w:pPr>
      <w:r>
        <w:rPr>
          <w:rFonts w:ascii="仿宋" w:eastAsia="仿宋" w:hAnsi="仿宋" w:hint="eastAsia"/>
        </w:rPr>
        <w:t>三、</w:t>
      </w:r>
      <w:r w:rsidR="00B2605B">
        <w:rPr>
          <w:rFonts w:ascii="仿宋" w:eastAsia="仿宋" w:hAnsi="仿宋" w:hint="eastAsia"/>
        </w:rPr>
        <w:t>本次合并仅对涉及中小板相关指数的全称、简称和选样空间描述作适应性调整，如删除指数全称和简称中的“板”字，相关指数选样空间描述涉及的“中小板”变更为“原中小板”。不对指数编制方法作实质性变更，不会导致跟踪相关指数的基金产品投资标的调整。</w:t>
      </w:r>
    </w:p>
    <w:p w14:paraId="442D56D2" w14:textId="77777777" w:rsidR="00B2605B" w:rsidRPr="00774412" w:rsidRDefault="00B2605B" w:rsidP="00B70939">
      <w:pPr>
        <w:ind w:firstLine="357"/>
        <w:rPr>
          <w:rFonts w:ascii="仿宋" w:eastAsia="仿宋" w:hAnsi="仿宋"/>
        </w:rPr>
      </w:pPr>
    </w:p>
    <w:p w14:paraId="1A688A5C" w14:textId="77777777" w:rsidR="00774412" w:rsidRPr="00774412" w:rsidRDefault="00774412" w:rsidP="00774412">
      <w:pPr>
        <w:rPr>
          <w:rFonts w:ascii="仿宋" w:eastAsia="仿宋" w:hAnsi="仿宋"/>
        </w:rPr>
      </w:pPr>
    </w:p>
    <w:p w14:paraId="3790BD9E" w14:textId="77777777" w:rsidR="006365B7" w:rsidRPr="00774412" w:rsidRDefault="006365B7" w:rsidP="006365B7">
      <w:pPr>
        <w:rPr>
          <w:rFonts w:ascii="仿宋" w:eastAsia="仿宋" w:hAnsi="仿宋"/>
        </w:rPr>
      </w:pPr>
    </w:p>
    <w:sectPr w:rsidR="006365B7" w:rsidRPr="00774412" w:rsidSect="00A06BB3">
      <w:footerReference w:type="default" r:id="rId11"/>
      <w:pgSz w:w="11907" w:h="16839" w:code="9"/>
      <w:pgMar w:top="1985" w:right="737" w:bottom="1134" w:left="1814" w:header="703" w:footer="703"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CCD6B" w14:textId="77777777" w:rsidR="00B00A81" w:rsidRDefault="00B00A81" w:rsidP="00D91F59">
      <w:r>
        <w:separator/>
      </w:r>
    </w:p>
  </w:endnote>
  <w:endnote w:type="continuationSeparator" w:id="0">
    <w:p w14:paraId="6BA6CC9B" w14:textId="77777777" w:rsidR="00B00A81" w:rsidRDefault="00B00A81" w:rsidP="00D9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redit Suisse Type Light">
    <w:panose1 w:val="020B0303040503020204"/>
    <w:charset w:val="00"/>
    <w:family w:val="swiss"/>
    <w:pitch w:val="variable"/>
    <w:sig w:usb0="800002AF" w:usb1="5000204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redit Suisse Headline">
    <w:panose1 w:val="020B0504030101020102"/>
    <w:charset w:val="00"/>
    <w:family w:val="swiss"/>
    <w:pitch w:val="variable"/>
    <w:sig w:usb0="A00000EF" w:usb1="400020FB" w:usb2="00000008"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1D08" w14:textId="77777777" w:rsidR="00A7457D" w:rsidRPr="00A7457D" w:rsidRDefault="00A7457D" w:rsidP="00403D1C">
    <w:pPr>
      <w:rPr>
        <w:color w:val="3F3F3F" w:themeColor="text2" w:themeShade="80"/>
        <w:szCs w:val="20"/>
      </w:rPr>
    </w:pPr>
    <w:r w:rsidRPr="00A7457D">
      <w:rPr>
        <w:noProof/>
        <w:szCs w:val="20"/>
      </w:rPr>
      <mc:AlternateContent>
        <mc:Choice Requires="wps">
          <w:drawing>
            <wp:anchor distT="0" distB="0" distL="114300" distR="114300" simplePos="0" relativeHeight="251659264" behindDoc="0" locked="0" layoutInCell="1" allowOverlap="1" wp14:anchorId="18A7801D" wp14:editId="6CEA87BD">
              <wp:simplePos x="0" y="0"/>
              <mc:AlternateContent>
                <mc:Choice Requires="wp14">
                  <wp:positionH relativeFrom="page">
                    <wp14:pctPosHOffset>88000</wp14:pctPosHOffset>
                  </wp:positionH>
                </mc:Choice>
                <mc:Fallback>
                  <wp:positionH relativeFrom="page">
                    <wp:posOffset>6653530</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64821" w14:textId="38280BF5" w:rsidR="00A7457D" w:rsidRPr="00A7457D" w:rsidRDefault="00A7457D" w:rsidP="00A7457D">
                          <w:pPr>
                            <w:jc w:val="right"/>
                            <w:rPr>
                              <w:color w:val="3F3F3F" w:themeColor="text2" w:themeShade="80"/>
                              <w:szCs w:val="20"/>
                            </w:rPr>
                          </w:pPr>
                          <w:r w:rsidRPr="00A7457D">
                            <w:rPr>
                              <w:color w:val="3F3F3F" w:themeColor="text2" w:themeShade="80"/>
                              <w:szCs w:val="20"/>
                            </w:rPr>
                            <w:fldChar w:fldCharType="begin"/>
                          </w:r>
                          <w:r w:rsidRPr="00A7457D">
                            <w:rPr>
                              <w:color w:val="3F3F3F" w:themeColor="text2" w:themeShade="80"/>
                              <w:szCs w:val="20"/>
                            </w:rPr>
                            <w:instrText xml:space="preserve"> PAGE  \* Arabic  \* MERGEFORMAT </w:instrText>
                          </w:r>
                          <w:r w:rsidRPr="00A7457D">
                            <w:rPr>
                              <w:color w:val="3F3F3F" w:themeColor="text2" w:themeShade="80"/>
                              <w:szCs w:val="20"/>
                            </w:rPr>
                            <w:fldChar w:fldCharType="separate"/>
                          </w:r>
                          <w:r w:rsidR="00562DB3">
                            <w:rPr>
                              <w:noProof/>
                              <w:color w:val="3F3F3F" w:themeColor="text2" w:themeShade="80"/>
                              <w:szCs w:val="20"/>
                            </w:rPr>
                            <w:t>2</w:t>
                          </w:r>
                          <w:r w:rsidRPr="00A7457D">
                            <w:rPr>
                              <w:color w:val="3F3F3F" w:themeColor="text2" w:themeShade="8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18A7801D"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880;mso-top-percent:930;mso-wrap-distance-left:9pt;mso-wrap-distance-top:0;mso-wrap-distance-right:9pt;mso-wrap-distance-bottom:0;mso-position-horizontal-relative:page;mso-position-vertical-relative:page;mso-width-percent:50;mso-height-percent:50;mso-left-percent:88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" fillcolor="white [3201]" stroked="f" strokeweight=".5pt">
              <v:textbox style="mso-fit-shape-to-text:t" inset="0,,0">
                <w:txbxContent>
                  <w:p w14:paraId="7C664821" w14:textId="38280BF5" w:rsidR="00A7457D" w:rsidRPr="00A7457D" w:rsidRDefault="00A7457D" w:rsidP="00A7457D">
                    <w:pPr>
                      <w:jc w:val="right"/>
                      <w:rPr>
                        <w:color w:val="3F3F3F" w:themeColor="text2" w:themeShade="80"/>
                        <w:szCs w:val="20"/>
                      </w:rPr>
                    </w:pPr>
                    <w:r w:rsidRPr="00A7457D">
                      <w:rPr>
                        <w:color w:val="3F3F3F" w:themeColor="text2" w:themeShade="80"/>
                        <w:szCs w:val="20"/>
                      </w:rPr>
                      <w:fldChar w:fldCharType="begin"/>
                    </w:r>
                    <w:r w:rsidRPr="00A7457D">
                      <w:rPr>
                        <w:color w:val="3F3F3F" w:themeColor="text2" w:themeShade="80"/>
                        <w:szCs w:val="20"/>
                      </w:rPr>
                      <w:instrText xml:space="preserve"> PAGE  \* Arabic  \* MERGEFORMAT </w:instrText>
                    </w:r>
                    <w:r w:rsidRPr="00A7457D">
                      <w:rPr>
                        <w:color w:val="3F3F3F" w:themeColor="text2" w:themeShade="80"/>
                        <w:szCs w:val="20"/>
                      </w:rPr>
                      <w:fldChar w:fldCharType="separate"/>
                    </w:r>
                    <w:r w:rsidR="00562DB3">
                      <w:rPr>
                        <w:noProof/>
                        <w:color w:val="3F3F3F" w:themeColor="text2" w:themeShade="80"/>
                        <w:szCs w:val="20"/>
                      </w:rPr>
                      <w:t>2</w:t>
                    </w:r>
                    <w:r w:rsidRPr="00A7457D">
                      <w:rPr>
                        <w:color w:val="3F3F3F" w:themeColor="text2" w:themeShade="8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1FA6" w14:textId="77777777" w:rsidR="00B00A81" w:rsidRDefault="00B00A81" w:rsidP="00D91F59">
      <w:r>
        <w:separator/>
      </w:r>
    </w:p>
  </w:footnote>
  <w:footnote w:type="continuationSeparator" w:id="0">
    <w:p w14:paraId="78378CA2" w14:textId="77777777" w:rsidR="00B00A81" w:rsidRDefault="00B00A81" w:rsidP="00D9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82BCE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0EED6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945311"/>
    <w:multiLevelType w:val="hybridMultilevel"/>
    <w:tmpl w:val="82A2EC4C"/>
    <w:lvl w:ilvl="0" w:tplc="F8EE5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16A6C"/>
    <w:multiLevelType w:val="hybridMultilevel"/>
    <w:tmpl w:val="FB6020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5103E4"/>
    <w:multiLevelType w:val="multilevel"/>
    <w:tmpl w:val="FCF615A8"/>
    <w:numStyleLink w:val="ListCS"/>
  </w:abstractNum>
  <w:abstractNum w:abstractNumId="5" w15:restartNumberingAfterBreak="0">
    <w:nsid w:val="1080364B"/>
    <w:multiLevelType w:val="hybridMultilevel"/>
    <w:tmpl w:val="23A493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D03EA2"/>
    <w:multiLevelType w:val="multilevel"/>
    <w:tmpl w:val="FCF615A8"/>
    <w:numStyleLink w:val="ListCS"/>
  </w:abstractNum>
  <w:abstractNum w:abstractNumId="7" w15:restartNumberingAfterBreak="0">
    <w:nsid w:val="237F07CE"/>
    <w:multiLevelType w:val="multilevel"/>
    <w:tmpl w:val="FCF615A8"/>
    <w:styleLink w:val="ListCS"/>
    <w:lvl w:ilvl="0">
      <w:start w:val="1"/>
      <w:numFmt w:val="bullet"/>
      <w:pStyle w:val="ListBullet"/>
      <w:lvlText w:val=""/>
      <w:lvlJc w:val="left"/>
      <w:pPr>
        <w:ind w:left="198" w:hanging="198"/>
      </w:pPr>
      <w:rPr>
        <w:rFonts w:ascii="Credit Suisse Type Light" w:hAnsi="Credit Suisse Type Light" w:cs="Times New Roman" w:hint="default"/>
        <w:color w:val="A6A6A6" w:themeColor="background1" w:themeShade="A6"/>
      </w:rPr>
    </w:lvl>
    <w:lvl w:ilvl="1">
      <w:start w:val="1"/>
      <w:numFmt w:val="bullet"/>
      <w:pStyle w:val="ListBullet2"/>
      <w:lvlText w:val="−"/>
      <w:lvlJc w:val="left"/>
      <w:pPr>
        <w:ind w:left="396" w:hanging="198"/>
      </w:pPr>
      <w:rPr>
        <w:rFonts w:ascii="Credit Suisse Type Light" w:hAnsi="Credit Suisse Type Light" w:cs="Times New Roman" w:hint="default"/>
        <w:color w:val="auto"/>
      </w:rPr>
    </w:lvl>
    <w:lvl w:ilvl="2">
      <w:start w:val="1"/>
      <w:numFmt w:val="bullet"/>
      <w:lvlText w:val=""/>
      <w:lvlJc w:val="left"/>
      <w:pPr>
        <w:tabs>
          <w:tab w:val="num" w:pos="2835"/>
        </w:tabs>
        <w:ind w:left="594" w:hanging="198"/>
      </w:pPr>
      <w:rPr>
        <w:rFonts w:ascii="Credit Suisse Type Light" w:hAnsi="Credit Suisse Type Light" w:cs="Times New Roman" w:hint="default"/>
        <w:color w:val="A6A6A6" w:themeColor="background1" w:themeShade="A6"/>
      </w:rPr>
    </w:lvl>
    <w:lvl w:ilvl="3">
      <w:start w:val="1"/>
      <w:numFmt w:val="bullet"/>
      <w:lvlText w:val="−"/>
      <w:lvlJc w:val="left"/>
      <w:pPr>
        <w:tabs>
          <w:tab w:val="num" w:pos="5670"/>
        </w:tabs>
        <w:ind w:left="792" w:hanging="198"/>
      </w:pPr>
      <w:rPr>
        <w:rFonts w:ascii="Credit Suisse Type Light" w:hAnsi="Credit Suisse Type Light" w:cs="Times New Roman" w:hint="default"/>
        <w:color w:val="auto"/>
      </w:rPr>
    </w:lvl>
    <w:lvl w:ilvl="4">
      <w:start w:val="1"/>
      <w:numFmt w:val="bullet"/>
      <w:lvlText w:val=""/>
      <w:lvlJc w:val="left"/>
      <w:pPr>
        <w:ind w:left="990" w:hanging="198"/>
      </w:pPr>
      <w:rPr>
        <w:rFonts w:ascii="Credit Suisse Type Light" w:hAnsi="Credit Suisse Type Light" w:cs="Times New Roman" w:hint="default"/>
        <w:color w:val="A6A6A6" w:themeColor="background1" w:themeShade="A6"/>
      </w:rPr>
    </w:lvl>
    <w:lvl w:ilvl="5">
      <w:start w:val="1"/>
      <w:numFmt w:val="bullet"/>
      <w:lvlText w:val="−"/>
      <w:lvlJc w:val="left"/>
      <w:pPr>
        <w:ind w:left="1188" w:hanging="198"/>
      </w:pPr>
      <w:rPr>
        <w:rFonts w:ascii="Credit Suisse Type Light" w:hAnsi="Credit Suisse Type Light" w:cs="Times New Roman" w:hint="default"/>
        <w:color w:val="auto"/>
      </w:rPr>
    </w:lvl>
    <w:lvl w:ilvl="6">
      <w:start w:val="1"/>
      <w:numFmt w:val="bullet"/>
      <w:lvlText w:val=""/>
      <w:lvlJc w:val="left"/>
      <w:pPr>
        <w:ind w:left="1389" w:hanging="201"/>
      </w:pPr>
      <w:rPr>
        <w:rFonts w:ascii="Credit Suisse Type Light" w:hAnsi="Credit Suisse Type Light" w:cs="Times New Roman" w:hint="default"/>
        <w:color w:val="A6A6A6" w:themeColor="background1" w:themeShade="A6"/>
      </w:rPr>
    </w:lvl>
    <w:lvl w:ilvl="7">
      <w:start w:val="1"/>
      <w:numFmt w:val="bullet"/>
      <w:lvlText w:val="−"/>
      <w:lvlJc w:val="left"/>
      <w:pPr>
        <w:ind w:left="1588" w:hanging="199"/>
      </w:pPr>
      <w:rPr>
        <w:rFonts w:ascii="Credit Suisse Type Light" w:hAnsi="Credit Suisse Type Light" w:cs="Times New Roman" w:hint="default"/>
        <w:color w:val="auto"/>
      </w:rPr>
    </w:lvl>
    <w:lvl w:ilvl="8">
      <w:start w:val="1"/>
      <w:numFmt w:val="bullet"/>
      <w:lvlText w:val=""/>
      <w:lvlJc w:val="left"/>
      <w:pPr>
        <w:ind w:left="1786" w:hanging="198"/>
      </w:pPr>
      <w:rPr>
        <w:rFonts w:ascii="Credit Suisse Type Light" w:hAnsi="Credit Suisse Type Light" w:cs="Times New Roman" w:hint="default"/>
        <w:color w:val="A6A6A6" w:themeColor="background1" w:themeShade="A6"/>
      </w:rPr>
    </w:lvl>
  </w:abstractNum>
  <w:abstractNum w:abstractNumId="8" w15:restartNumberingAfterBreak="0">
    <w:nsid w:val="26BD4F2E"/>
    <w:multiLevelType w:val="hybridMultilevel"/>
    <w:tmpl w:val="D29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50FFF"/>
    <w:multiLevelType w:val="hybridMultilevel"/>
    <w:tmpl w:val="A05C97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64BD9"/>
    <w:multiLevelType w:val="hybridMultilevel"/>
    <w:tmpl w:val="C70482D8"/>
    <w:lvl w:ilvl="0" w:tplc="5F56044A">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A50A2"/>
    <w:multiLevelType w:val="multilevel"/>
    <w:tmpl w:val="FCF615A8"/>
    <w:numStyleLink w:val="ListCS"/>
  </w:abstractNum>
  <w:abstractNum w:abstractNumId="12" w15:restartNumberingAfterBreak="0">
    <w:nsid w:val="319E3D56"/>
    <w:multiLevelType w:val="hybridMultilevel"/>
    <w:tmpl w:val="7ACED5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E86371"/>
    <w:multiLevelType w:val="multilevel"/>
    <w:tmpl w:val="FCF615A8"/>
    <w:numStyleLink w:val="ListCS"/>
  </w:abstractNum>
  <w:abstractNum w:abstractNumId="14" w15:restartNumberingAfterBreak="0">
    <w:nsid w:val="3531541D"/>
    <w:multiLevelType w:val="multilevel"/>
    <w:tmpl w:val="FCF615A8"/>
    <w:numStyleLink w:val="ListCS"/>
  </w:abstractNum>
  <w:abstractNum w:abstractNumId="15" w15:restartNumberingAfterBreak="0">
    <w:nsid w:val="37F85C18"/>
    <w:multiLevelType w:val="hybridMultilevel"/>
    <w:tmpl w:val="73E815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3F467D"/>
    <w:multiLevelType w:val="hybridMultilevel"/>
    <w:tmpl w:val="BCD6EF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3685222"/>
    <w:multiLevelType w:val="hybridMultilevel"/>
    <w:tmpl w:val="365E17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164AC3"/>
    <w:multiLevelType w:val="hybridMultilevel"/>
    <w:tmpl w:val="EBDA9D34"/>
    <w:lvl w:ilvl="0" w:tplc="0FDA78E8">
      <w:start w:val="1"/>
      <w:numFmt w:val="bullet"/>
      <w:lvlText w:val=""/>
      <w:lvlJc w:val="left"/>
      <w:pPr>
        <w:ind w:left="720" w:hanging="360"/>
      </w:pPr>
      <w:rPr>
        <w:rFonts w:ascii="Credit Suisse Type Light" w:hAnsi="Credit Suisse Type Light" w:cs="Credit Suisse Type Light" w:hint="default"/>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8"/>
  </w:num>
  <w:num w:numId="5">
    <w:abstractNumId w:val="4"/>
  </w:num>
  <w:num w:numId="6">
    <w:abstractNumId w:val="13"/>
  </w:num>
  <w:num w:numId="7">
    <w:abstractNumId w:val="14"/>
  </w:num>
  <w:num w:numId="8">
    <w:abstractNumId w:val="11"/>
  </w:num>
  <w:num w:numId="9">
    <w:abstractNumId w:val="6"/>
  </w:num>
  <w:num w:numId="10">
    <w:abstractNumId w:val="10"/>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8"/>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81"/>
    <w:rsid w:val="0000041D"/>
    <w:rsid w:val="000144B8"/>
    <w:rsid w:val="00033348"/>
    <w:rsid w:val="0004045D"/>
    <w:rsid w:val="00055C3A"/>
    <w:rsid w:val="00064279"/>
    <w:rsid w:val="000716DB"/>
    <w:rsid w:val="0007327B"/>
    <w:rsid w:val="00084D15"/>
    <w:rsid w:val="00090DC1"/>
    <w:rsid w:val="000D4BAA"/>
    <w:rsid w:val="000E0B74"/>
    <w:rsid w:val="000F49D0"/>
    <w:rsid w:val="0010658C"/>
    <w:rsid w:val="001164A0"/>
    <w:rsid w:val="00150249"/>
    <w:rsid w:val="001A2A9B"/>
    <w:rsid w:val="001A7D98"/>
    <w:rsid w:val="001C50EC"/>
    <w:rsid w:val="001D27B4"/>
    <w:rsid w:val="001D5E39"/>
    <w:rsid w:val="001E010B"/>
    <w:rsid w:val="001F10A7"/>
    <w:rsid w:val="0022074C"/>
    <w:rsid w:val="00220C54"/>
    <w:rsid w:val="00224603"/>
    <w:rsid w:val="00242C30"/>
    <w:rsid w:val="00245E5E"/>
    <w:rsid w:val="00266220"/>
    <w:rsid w:val="002A40FF"/>
    <w:rsid w:val="002A42B8"/>
    <w:rsid w:val="002B65A8"/>
    <w:rsid w:val="003271DE"/>
    <w:rsid w:val="00345889"/>
    <w:rsid w:val="00370E6D"/>
    <w:rsid w:val="003810CF"/>
    <w:rsid w:val="00403D1C"/>
    <w:rsid w:val="004047B4"/>
    <w:rsid w:val="00411E04"/>
    <w:rsid w:val="00445B2A"/>
    <w:rsid w:val="00452CE5"/>
    <w:rsid w:val="004630C4"/>
    <w:rsid w:val="004B1475"/>
    <w:rsid w:val="004C0E79"/>
    <w:rsid w:val="004D3729"/>
    <w:rsid w:val="004D747F"/>
    <w:rsid w:val="0051309E"/>
    <w:rsid w:val="00562DB3"/>
    <w:rsid w:val="00573493"/>
    <w:rsid w:val="00591B4C"/>
    <w:rsid w:val="005A7AA1"/>
    <w:rsid w:val="005B4018"/>
    <w:rsid w:val="005B54B8"/>
    <w:rsid w:val="005B6232"/>
    <w:rsid w:val="005B7325"/>
    <w:rsid w:val="005C1598"/>
    <w:rsid w:val="005C18C3"/>
    <w:rsid w:val="005D7BA3"/>
    <w:rsid w:val="005E299A"/>
    <w:rsid w:val="0061315F"/>
    <w:rsid w:val="006365B7"/>
    <w:rsid w:val="00697EA7"/>
    <w:rsid w:val="006C37E4"/>
    <w:rsid w:val="00746C09"/>
    <w:rsid w:val="00760446"/>
    <w:rsid w:val="00770E55"/>
    <w:rsid w:val="00774412"/>
    <w:rsid w:val="00783CA6"/>
    <w:rsid w:val="007941AA"/>
    <w:rsid w:val="007D3A59"/>
    <w:rsid w:val="00816014"/>
    <w:rsid w:val="00830943"/>
    <w:rsid w:val="00844C0C"/>
    <w:rsid w:val="00845E77"/>
    <w:rsid w:val="008C0CC5"/>
    <w:rsid w:val="008F35AB"/>
    <w:rsid w:val="0094120A"/>
    <w:rsid w:val="009770D7"/>
    <w:rsid w:val="009862A2"/>
    <w:rsid w:val="00991EA9"/>
    <w:rsid w:val="009B1927"/>
    <w:rsid w:val="009B2293"/>
    <w:rsid w:val="009B5934"/>
    <w:rsid w:val="009C0BB6"/>
    <w:rsid w:val="009F4728"/>
    <w:rsid w:val="00A06BB3"/>
    <w:rsid w:val="00A171E2"/>
    <w:rsid w:val="00A31F05"/>
    <w:rsid w:val="00A342FD"/>
    <w:rsid w:val="00A605B5"/>
    <w:rsid w:val="00A624E6"/>
    <w:rsid w:val="00A7457D"/>
    <w:rsid w:val="00A80B06"/>
    <w:rsid w:val="00AA24D6"/>
    <w:rsid w:val="00AB309D"/>
    <w:rsid w:val="00AB78D3"/>
    <w:rsid w:val="00AF647E"/>
    <w:rsid w:val="00B00A81"/>
    <w:rsid w:val="00B1772E"/>
    <w:rsid w:val="00B2605B"/>
    <w:rsid w:val="00B40B54"/>
    <w:rsid w:val="00B4749A"/>
    <w:rsid w:val="00B70939"/>
    <w:rsid w:val="00B90776"/>
    <w:rsid w:val="00BA13DE"/>
    <w:rsid w:val="00BD430E"/>
    <w:rsid w:val="00C60CAD"/>
    <w:rsid w:val="00C625A4"/>
    <w:rsid w:val="00C66184"/>
    <w:rsid w:val="00C70177"/>
    <w:rsid w:val="00C854AF"/>
    <w:rsid w:val="00CB32DF"/>
    <w:rsid w:val="00CC7830"/>
    <w:rsid w:val="00CE7149"/>
    <w:rsid w:val="00D143B1"/>
    <w:rsid w:val="00D32D84"/>
    <w:rsid w:val="00D35701"/>
    <w:rsid w:val="00D45CA4"/>
    <w:rsid w:val="00D51873"/>
    <w:rsid w:val="00D528C1"/>
    <w:rsid w:val="00D85000"/>
    <w:rsid w:val="00D91F59"/>
    <w:rsid w:val="00DA485E"/>
    <w:rsid w:val="00DC4F33"/>
    <w:rsid w:val="00E235BA"/>
    <w:rsid w:val="00E35C72"/>
    <w:rsid w:val="00E400F7"/>
    <w:rsid w:val="00E468B2"/>
    <w:rsid w:val="00F32AF6"/>
    <w:rsid w:val="00F3363D"/>
    <w:rsid w:val="00F47B51"/>
    <w:rsid w:val="00F67163"/>
    <w:rsid w:val="00FA44E9"/>
    <w:rsid w:val="00FB74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C7C15"/>
  <w15:chartTrackingRefBased/>
  <w15:docId w15:val="{8C6471D3-3268-4A8F-AB5D-829B564E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uiPriority="5"/>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B7"/>
    <w:pPr>
      <w:spacing w:after="0" w:line="240" w:lineRule="auto"/>
    </w:pPr>
    <w:rPr>
      <w:sz w:val="20"/>
    </w:rPr>
  </w:style>
  <w:style w:type="paragraph" w:styleId="Heading1">
    <w:name w:val="heading 1"/>
    <w:basedOn w:val="Normal"/>
    <w:next w:val="Normal"/>
    <w:link w:val="Heading1Char"/>
    <w:uiPriority w:val="3"/>
    <w:qFormat/>
    <w:rsid w:val="000E0B74"/>
    <w:pPr>
      <w:keepNext/>
      <w:keepLines/>
      <w:spacing w:before="480"/>
      <w:outlineLvl w:val="0"/>
    </w:pPr>
    <w:rPr>
      <w:rFonts w:asciiTheme="majorHAnsi" w:eastAsiaTheme="majorEastAsia" w:hAnsiTheme="majorHAnsi" w:cstheme="majorBidi"/>
      <w:b/>
      <w:bCs/>
      <w:szCs w:val="20"/>
    </w:rPr>
  </w:style>
  <w:style w:type="paragraph" w:styleId="Heading2">
    <w:name w:val="heading 2"/>
    <w:basedOn w:val="Normal"/>
    <w:next w:val="Normal"/>
    <w:link w:val="Heading2Char"/>
    <w:uiPriority w:val="4"/>
    <w:qFormat/>
    <w:rsid w:val="00CC7830"/>
    <w:pPr>
      <w:keepNext/>
      <w:keepLines/>
      <w:spacing w:before="200"/>
      <w:outlineLvl w:val="1"/>
    </w:pPr>
    <w:rPr>
      <w:rFonts w:asciiTheme="majorHAnsi" w:eastAsiaTheme="majorEastAsia" w:hAnsiTheme="majorHAnsi" w:cstheme="majorBidi"/>
      <w:b/>
      <w:bCs/>
      <w:color w:val="A6A6A6" w:themeColor="background1" w:themeShade="A6"/>
      <w:szCs w:val="20"/>
    </w:rPr>
  </w:style>
  <w:style w:type="paragraph" w:styleId="Heading3">
    <w:name w:val="heading 3"/>
    <w:basedOn w:val="Normal"/>
    <w:next w:val="Normal"/>
    <w:link w:val="Heading3Char"/>
    <w:uiPriority w:val="5"/>
    <w:unhideWhenUsed/>
    <w:rsid w:val="005B6232"/>
    <w:pPr>
      <w:keepNext/>
      <w:keepLines/>
      <w:spacing w:before="200"/>
      <w:outlineLvl w:val="2"/>
    </w:pPr>
    <w:rPr>
      <w:rFonts w:asciiTheme="majorHAnsi" w:eastAsiaTheme="majorEastAsia" w:hAnsiTheme="majorHAnsi" w:cstheme="majorBidi"/>
      <w:b/>
      <w:bCs/>
      <w:color w:val="003868"/>
    </w:rPr>
  </w:style>
  <w:style w:type="paragraph" w:styleId="Heading4">
    <w:name w:val="heading 4"/>
    <w:basedOn w:val="Normal"/>
    <w:next w:val="Normal"/>
    <w:link w:val="Heading4Char"/>
    <w:uiPriority w:val="9"/>
    <w:semiHidden/>
    <w:rsid w:val="00224603"/>
    <w:pPr>
      <w:keepNext/>
      <w:keepLines/>
      <w:spacing w:before="200"/>
      <w:outlineLvl w:val="3"/>
    </w:pPr>
    <w:rPr>
      <w:rFonts w:asciiTheme="majorHAnsi" w:eastAsiaTheme="majorEastAsia" w:hAnsiTheme="majorHAnsi" w:cstheme="majorBidi"/>
      <w:bCs/>
      <w:i/>
      <w:iCs/>
      <w:color w:val="0072C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E0B74"/>
    <w:rPr>
      <w:rFonts w:asciiTheme="majorHAnsi" w:eastAsiaTheme="majorEastAsia" w:hAnsiTheme="majorHAnsi" w:cstheme="majorBidi"/>
      <w:b/>
      <w:bCs/>
      <w:kern w:val="22"/>
      <w:sz w:val="20"/>
      <w:szCs w:val="20"/>
    </w:rPr>
  </w:style>
  <w:style w:type="character" w:customStyle="1" w:styleId="Heading2Char">
    <w:name w:val="Heading 2 Char"/>
    <w:basedOn w:val="DefaultParagraphFont"/>
    <w:link w:val="Heading2"/>
    <w:uiPriority w:val="4"/>
    <w:rsid w:val="00CC7830"/>
    <w:rPr>
      <w:rFonts w:asciiTheme="majorHAnsi" w:eastAsiaTheme="majorEastAsia" w:hAnsiTheme="majorHAnsi" w:cstheme="majorBidi"/>
      <w:b/>
      <w:bCs/>
      <w:color w:val="A6A6A6" w:themeColor="background1" w:themeShade="A6"/>
      <w:sz w:val="20"/>
      <w:szCs w:val="20"/>
    </w:rPr>
  </w:style>
  <w:style w:type="numbering" w:customStyle="1" w:styleId="ListCS">
    <w:name w:val="List CS"/>
    <w:uiPriority w:val="99"/>
    <w:rsid w:val="001A2A9B"/>
    <w:pPr>
      <w:numPr>
        <w:numId w:val="3"/>
      </w:numPr>
    </w:pPr>
  </w:style>
  <w:style w:type="paragraph" w:styleId="ListParagraph">
    <w:name w:val="List Paragraph"/>
    <w:basedOn w:val="Normal"/>
    <w:uiPriority w:val="34"/>
    <w:qFormat/>
    <w:rsid w:val="00C625A4"/>
    <w:pPr>
      <w:ind w:left="720"/>
      <w:contextualSpacing/>
    </w:pPr>
  </w:style>
  <w:style w:type="paragraph" w:styleId="ListBullet">
    <w:name w:val="List Bullet"/>
    <w:basedOn w:val="Normal"/>
    <w:link w:val="ListBulletChar"/>
    <w:uiPriority w:val="7"/>
    <w:qFormat/>
    <w:rsid w:val="001A2A9B"/>
    <w:pPr>
      <w:numPr>
        <w:numId w:val="9"/>
      </w:numPr>
      <w:contextualSpacing/>
    </w:pPr>
  </w:style>
  <w:style w:type="paragraph" w:styleId="ListBullet2">
    <w:name w:val="List Bullet 2"/>
    <w:basedOn w:val="Normal"/>
    <w:uiPriority w:val="8"/>
    <w:qFormat/>
    <w:rsid w:val="001A2A9B"/>
    <w:pPr>
      <w:numPr>
        <w:ilvl w:val="1"/>
        <w:numId w:val="9"/>
      </w:numPr>
      <w:contextualSpacing/>
    </w:pPr>
  </w:style>
  <w:style w:type="paragraph" w:styleId="Title">
    <w:name w:val="Title"/>
    <w:basedOn w:val="Normal"/>
    <w:next w:val="Normal"/>
    <w:link w:val="TitleChar"/>
    <w:uiPriority w:val="1"/>
    <w:qFormat/>
    <w:rsid w:val="00DC4F33"/>
    <w:pPr>
      <w:spacing w:line="430" w:lineRule="exact"/>
      <w:contextualSpacing/>
    </w:pPr>
    <w:rPr>
      <w:rFonts w:asciiTheme="majorHAnsi" w:eastAsiaTheme="majorEastAsia" w:hAnsiTheme="majorHAnsi" w:cstheme="majorBidi"/>
      <w:b/>
      <w:snapToGrid w:val="0"/>
      <w:sz w:val="28"/>
      <w:szCs w:val="52"/>
    </w:rPr>
  </w:style>
  <w:style w:type="character" w:customStyle="1" w:styleId="TitleChar">
    <w:name w:val="Title Char"/>
    <w:basedOn w:val="DefaultParagraphFont"/>
    <w:link w:val="Title"/>
    <w:uiPriority w:val="1"/>
    <w:rsid w:val="00DC4F33"/>
    <w:rPr>
      <w:rFonts w:asciiTheme="majorHAnsi" w:eastAsiaTheme="majorEastAsia" w:hAnsiTheme="majorHAnsi" w:cstheme="majorBidi"/>
      <w:b/>
      <w:snapToGrid w:val="0"/>
      <w:sz w:val="28"/>
      <w:szCs w:val="52"/>
    </w:rPr>
  </w:style>
  <w:style w:type="character" w:styleId="Emphasis">
    <w:name w:val="Emphasis"/>
    <w:basedOn w:val="DefaultParagraphFont"/>
    <w:uiPriority w:val="6"/>
    <w:qFormat/>
    <w:rsid w:val="002A42B8"/>
    <w:rPr>
      <w:rFonts w:asciiTheme="minorHAnsi" w:hAnsiTheme="minorHAnsi"/>
      <w:b/>
      <w:i w:val="0"/>
      <w:iCs/>
      <w:color w:val="auto"/>
      <w:sz w:val="20"/>
    </w:rPr>
  </w:style>
  <w:style w:type="character" w:customStyle="1" w:styleId="Heading3Char">
    <w:name w:val="Heading 3 Char"/>
    <w:basedOn w:val="DefaultParagraphFont"/>
    <w:link w:val="Heading3"/>
    <w:uiPriority w:val="5"/>
    <w:rsid w:val="001164A0"/>
    <w:rPr>
      <w:rFonts w:asciiTheme="majorHAnsi" w:eastAsiaTheme="majorEastAsia" w:hAnsiTheme="majorHAnsi" w:cstheme="majorBidi"/>
      <w:b/>
      <w:bCs/>
      <w:color w:val="003868"/>
      <w:sz w:val="20"/>
    </w:rPr>
  </w:style>
  <w:style w:type="character" w:customStyle="1" w:styleId="Heading4Char">
    <w:name w:val="Heading 4 Char"/>
    <w:basedOn w:val="DefaultParagraphFont"/>
    <w:link w:val="Heading4"/>
    <w:uiPriority w:val="9"/>
    <w:semiHidden/>
    <w:rsid w:val="00CC7830"/>
    <w:rPr>
      <w:rFonts w:asciiTheme="majorHAnsi" w:eastAsiaTheme="majorEastAsia" w:hAnsiTheme="majorHAnsi" w:cstheme="majorBidi"/>
      <w:bCs/>
      <w:i/>
      <w:iCs/>
      <w:color w:val="0072CE" w:themeColor="accent1"/>
      <w:kern w:val="22"/>
      <w:sz w:val="20"/>
    </w:rPr>
  </w:style>
  <w:style w:type="character" w:customStyle="1" w:styleId="ListBulletChar">
    <w:name w:val="List Bullet Char"/>
    <w:basedOn w:val="DefaultParagraphFont"/>
    <w:link w:val="ListBullet"/>
    <w:uiPriority w:val="7"/>
    <w:rsid w:val="00CB32DF"/>
    <w:rPr>
      <w:kern w:val="22"/>
      <w:sz w:val="20"/>
    </w:rPr>
  </w:style>
  <w:style w:type="paragraph" w:styleId="BalloonText">
    <w:name w:val="Balloon Text"/>
    <w:basedOn w:val="Normal"/>
    <w:link w:val="BalloonTextChar"/>
    <w:uiPriority w:val="99"/>
    <w:semiHidden/>
    <w:unhideWhenUsed/>
    <w:rsid w:val="000F49D0"/>
    <w:rPr>
      <w:rFonts w:ascii="Tahoma" w:hAnsi="Tahoma" w:cs="Tahoma"/>
      <w:sz w:val="16"/>
      <w:szCs w:val="16"/>
    </w:rPr>
  </w:style>
  <w:style w:type="character" w:customStyle="1" w:styleId="BalloonTextChar">
    <w:name w:val="Balloon Text Char"/>
    <w:basedOn w:val="DefaultParagraphFont"/>
    <w:link w:val="BalloonText"/>
    <w:uiPriority w:val="99"/>
    <w:semiHidden/>
    <w:rsid w:val="000F49D0"/>
    <w:rPr>
      <w:rFonts w:ascii="Tahoma" w:hAnsi="Tahoma" w:cs="Tahoma"/>
      <w:kern w:val="22"/>
      <w:sz w:val="16"/>
      <w:szCs w:val="16"/>
    </w:rPr>
  </w:style>
  <w:style w:type="character" w:styleId="PlaceholderText">
    <w:name w:val="Placeholder Text"/>
    <w:basedOn w:val="DefaultParagraphFont"/>
    <w:uiPriority w:val="99"/>
    <w:semiHidden/>
    <w:rsid w:val="003810CF"/>
    <w:rPr>
      <w:color w:val="808080"/>
    </w:rPr>
  </w:style>
  <w:style w:type="table" w:styleId="TableGrid">
    <w:name w:val="Table Grid"/>
    <w:basedOn w:val="TableNormal"/>
    <w:uiPriority w:val="59"/>
    <w:rsid w:val="0022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66220"/>
    <w:pPr>
      <w:spacing w:line="276" w:lineRule="auto"/>
      <w:outlineLvl w:val="9"/>
    </w:pPr>
    <w:rPr>
      <w:color w:val="00559A" w:themeColor="accent1" w:themeShade="BF"/>
      <w:sz w:val="28"/>
      <w:szCs w:val="28"/>
      <w:lang w:eastAsia="ja-JP"/>
    </w:rPr>
  </w:style>
  <w:style w:type="character" w:styleId="Strong">
    <w:name w:val="Strong"/>
    <w:basedOn w:val="DefaultParagraphFont"/>
    <w:uiPriority w:val="22"/>
    <w:qFormat/>
    <w:rsid w:val="00B70939"/>
    <w:rPr>
      <w:b/>
      <w:bCs/>
    </w:rPr>
  </w:style>
  <w:style w:type="character" w:styleId="CommentReference">
    <w:name w:val="annotation reference"/>
    <w:basedOn w:val="DefaultParagraphFont"/>
    <w:uiPriority w:val="99"/>
    <w:semiHidden/>
    <w:unhideWhenUsed/>
    <w:rsid w:val="00411E04"/>
    <w:rPr>
      <w:sz w:val="16"/>
      <w:szCs w:val="16"/>
    </w:rPr>
  </w:style>
  <w:style w:type="paragraph" w:styleId="CommentText">
    <w:name w:val="annotation text"/>
    <w:basedOn w:val="Normal"/>
    <w:link w:val="CommentTextChar"/>
    <w:uiPriority w:val="99"/>
    <w:semiHidden/>
    <w:unhideWhenUsed/>
    <w:rsid w:val="00411E04"/>
    <w:rPr>
      <w:szCs w:val="20"/>
    </w:rPr>
  </w:style>
  <w:style w:type="character" w:customStyle="1" w:styleId="CommentTextChar">
    <w:name w:val="Comment Text Char"/>
    <w:basedOn w:val="DefaultParagraphFont"/>
    <w:link w:val="CommentText"/>
    <w:uiPriority w:val="99"/>
    <w:semiHidden/>
    <w:rsid w:val="00411E04"/>
    <w:rPr>
      <w:sz w:val="20"/>
      <w:szCs w:val="20"/>
    </w:rPr>
  </w:style>
  <w:style w:type="paragraph" w:styleId="CommentSubject">
    <w:name w:val="annotation subject"/>
    <w:basedOn w:val="CommentText"/>
    <w:next w:val="CommentText"/>
    <w:link w:val="CommentSubjectChar"/>
    <w:uiPriority w:val="99"/>
    <w:semiHidden/>
    <w:unhideWhenUsed/>
    <w:rsid w:val="00411E04"/>
    <w:rPr>
      <w:b/>
      <w:bCs/>
    </w:rPr>
  </w:style>
  <w:style w:type="character" w:customStyle="1" w:styleId="CommentSubjectChar">
    <w:name w:val="Comment Subject Char"/>
    <w:basedOn w:val="CommentTextChar"/>
    <w:link w:val="CommentSubject"/>
    <w:uiPriority w:val="99"/>
    <w:semiHidden/>
    <w:rsid w:val="00411E04"/>
    <w:rPr>
      <w:b/>
      <w:bCs/>
      <w:sz w:val="20"/>
      <w:szCs w:val="20"/>
    </w:rPr>
  </w:style>
  <w:style w:type="character" w:styleId="Hyperlink">
    <w:name w:val="Hyperlink"/>
    <w:basedOn w:val="DefaultParagraphFont"/>
    <w:uiPriority w:val="99"/>
    <w:unhideWhenUsed/>
    <w:rsid w:val="00411E04"/>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16397">
      <w:bodyDiv w:val="1"/>
      <w:marLeft w:val="0"/>
      <w:marRight w:val="0"/>
      <w:marTop w:val="0"/>
      <w:marBottom w:val="0"/>
      <w:divBdr>
        <w:top w:val="none" w:sz="0" w:space="0" w:color="auto"/>
        <w:left w:val="none" w:sz="0" w:space="0" w:color="auto"/>
        <w:bottom w:val="none" w:sz="0" w:space="0" w:color="auto"/>
        <w:right w:val="none" w:sz="0" w:space="0" w:color="auto"/>
      </w:divBdr>
    </w:div>
    <w:div w:id="1596398054">
      <w:bodyDiv w:val="1"/>
      <w:marLeft w:val="0"/>
      <w:marRight w:val="0"/>
      <w:marTop w:val="0"/>
      <w:marBottom w:val="0"/>
      <w:divBdr>
        <w:top w:val="none" w:sz="0" w:space="0" w:color="auto"/>
        <w:left w:val="none" w:sz="0" w:space="0" w:color="auto"/>
        <w:bottom w:val="none" w:sz="0" w:space="0" w:color="auto"/>
        <w:right w:val="none" w:sz="0" w:space="0" w:color="auto"/>
      </w:divBdr>
    </w:div>
    <w:div w:id="2033532047">
      <w:bodyDiv w:val="1"/>
      <w:marLeft w:val="0"/>
      <w:marRight w:val="0"/>
      <w:marTop w:val="0"/>
      <w:marBottom w:val="0"/>
      <w:divBdr>
        <w:top w:val="none" w:sz="0" w:space="0" w:color="auto"/>
        <w:left w:val="none" w:sz="0" w:space="0" w:color="auto"/>
        <w:bottom w:val="none" w:sz="0" w:space="0" w:color="auto"/>
        <w:right w:val="none" w:sz="0" w:space="0" w:color="auto"/>
      </w:divBdr>
      <w:divsChild>
        <w:div w:id="1489514668">
          <w:marLeft w:val="0"/>
          <w:marRight w:val="0"/>
          <w:marTop w:val="0"/>
          <w:marBottom w:val="225"/>
          <w:divBdr>
            <w:top w:val="none" w:sz="0" w:space="0" w:color="auto"/>
            <w:left w:val="none" w:sz="0" w:space="0" w:color="auto"/>
            <w:bottom w:val="none" w:sz="0" w:space="0" w:color="auto"/>
            <w:right w:val="none" w:sz="0" w:space="0" w:color="auto"/>
          </w:divBdr>
        </w:div>
        <w:div w:id="1024526199">
          <w:marLeft w:val="0"/>
          <w:marRight w:val="0"/>
          <w:marTop w:val="0"/>
          <w:marBottom w:val="225"/>
          <w:divBdr>
            <w:top w:val="none" w:sz="0" w:space="0" w:color="auto"/>
            <w:left w:val="none" w:sz="0" w:space="0" w:color="auto"/>
            <w:bottom w:val="none" w:sz="0" w:space="0" w:color="auto"/>
            <w:right w:val="none" w:sz="0" w:space="0" w:color="auto"/>
          </w:divBdr>
        </w:div>
        <w:div w:id="2047750408">
          <w:marLeft w:val="0"/>
          <w:marRight w:val="0"/>
          <w:marTop w:val="0"/>
          <w:marBottom w:val="225"/>
          <w:divBdr>
            <w:top w:val="none" w:sz="0" w:space="0" w:color="auto"/>
            <w:left w:val="none" w:sz="0" w:space="0" w:color="auto"/>
            <w:bottom w:val="none" w:sz="0" w:space="0" w:color="auto"/>
            <w:right w:val="none" w:sz="0" w:space="0" w:color="auto"/>
          </w:divBdr>
        </w:div>
        <w:div w:id="465438334">
          <w:marLeft w:val="0"/>
          <w:marRight w:val="0"/>
          <w:marTop w:val="0"/>
          <w:marBottom w:val="225"/>
          <w:divBdr>
            <w:top w:val="none" w:sz="0" w:space="0" w:color="auto"/>
            <w:left w:val="none" w:sz="0" w:space="0" w:color="auto"/>
            <w:bottom w:val="none" w:sz="0" w:space="0" w:color="auto"/>
            <w:right w:val="none" w:sz="0" w:space="0" w:color="auto"/>
          </w:divBdr>
        </w:div>
        <w:div w:id="135681731">
          <w:marLeft w:val="0"/>
          <w:marRight w:val="0"/>
          <w:marTop w:val="0"/>
          <w:marBottom w:val="225"/>
          <w:divBdr>
            <w:top w:val="none" w:sz="0" w:space="0" w:color="auto"/>
            <w:left w:val="none" w:sz="0" w:space="0" w:color="auto"/>
            <w:bottom w:val="none" w:sz="0" w:space="0" w:color="auto"/>
            <w:right w:val="none" w:sz="0" w:space="0" w:color="auto"/>
          </w:divBdr>
        </w:div>
        <w:div w:id="4879859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3001_NEW CS TEMPLATE">
  <a:themeElements>
    <a:clrScheme name="New Brand">
      <a:dk1>
        <a:sysClr val="windowText" lastClr="000000"/>
      </a:dk1>
      <a:lt1>
        <a:sysClr val="window" lastClr="FFFFFF"/>
      </a:lt1>
      <a:dk2>
        <a:srgbClr val="7F7F7F"/>
      </a:dk2>
      <a:lt2>
        <a:srgbClr val="E7E8E9"/>
      </a:lt2>
      <a:accent1>
        <a:srgbClr val="0072CE"/>
      </a:accent1>
      <a:accent2>
        <a:srgbClr val="78C043"/>
      </a:accent2>
      <a:accent3>
        <a:srgbClr val="865BBC"/>
      </a:accent3>
      <a:accent4>
        <a:srgbClr val="00B2AC"/>
      </a:accent4>
      <a:accent5>
        <a:srgbClr val="DA0C6F"/>
      </a:accent5>
      <a:accent6>
        <a:srgbClr val="FFFFFF"/>
      </a:accent6>
      <a:hlink>
        <a:srgbClr val="000000"/>
      </a:hlink>
      <a:folHlink>
        <a:srgbClr val="000000"/>
      </a:folHlink>
    </a:clrScheme>
    <a:fontScheme name="Custom 1">
      <a:majorFont>
        <a:latin typeface="Credit Suisse Headline"/>
        <a:ea typeface=""/>
        <a:cs typeface=""/>
      </a:majorFont>
      <a:minorFont>
        <a:latin typeface="Credit Suisse Type Light"/>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72CE"/>
        </a:solidFill>
        <a:ln>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algn="ctr">
          <a:defRPr sz="12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buFont typeface="Wingdings" panose="05000000000000000000" pitchFamily="2" charset="2"/>
          <a:buChar char="§"/>
          <a:defRPr sz="1200" dirty="0" smtClean="0"/>
        </a:defPPr>
      </a:lstStyle>
    </a:txDef>
  </a:objectDefaults>
  <a:extraClrSchemeLst/>
  <a:custClrLst>
    <a:custClr name="Credit Suisse Blue">
      <a:srgbClr val="0072CE"/>
    </a:custClr>
    <a:custClr name="Credit Suisse Turquoise">
      <a:srgbClr val="00B2AC"/>
    </a:custClr>
    <a:custClr name="Credit Suisse Green">
      <a:srgbClr val="78C048"/>
    </a:custClr>
    <a:custClr name="Credit Suisse Purple">
      <a:srgbClr val="865BBC"/>
    </a:custClr>
    <a:custClr name="Credit Suisse Magenta">
      <a:srgbClr val="DA0C6F"/>
    </a:custClr>
    <a:custClr name="Credit Suisse Black">
      <a:srgbClr val="000000"/>
    </a:custClr>
    <a:custClr name="Credit Suisse Gray 3">
      <a:srgbClr val="DADADA"/>
    </a:custClr>
    <a:custClr name="White">
      <a:srgbClr val="FFFFFF"/>
    </a:custClr>
    <a:custClr name="White">
      <a:srgbClr val="FFFFFF"/>
    </a:custClr>
    <a:custClr name="RAG Green">
      <a:srgbClr val="008000"/>
    </a:custClr>
    <a:custClr name="Credit Suisse Dark Blue">
      <a:srgbClr val="003868"/>
    </a:custClr>
    <a:custClr name="Credit Suisse Dark Turquoise">
      <a:srgbClr val="005B66"/>
    </a:custClr>
    <a:custClr name="Credit Suisse Dark Green">
      <a:srgbClr val="00562A"/>
    </a:custClr>
    <a:custClr name="Credit Suisse Dark Purple">
      <a:srgbClr val="4C227C"/>
    </a:custClr>
    <a:custClr name="Credit Suisse Dark Magenta">
      <a:srgbClr val="7A004C"/>
    </a:custClr>
    <a:custClr name="Credit Suisse Gray 6">
      <a:srgbClr val="575756"/>
    </a:custClr>
    <a:custClr name="Credit Suisse Gray 2">
      <a:srgbClr val="E6E7E8"/>
    </a:custClr>
    <a:custClr name="White">
      <a:srgbClr val="FFFFFF"/>
    </a:custClr>
    <a:custClr name="White">
      <a:srgbClr val="FFFFFF"/>
    </a:custClr>
    <a:custClr name="RAG Red">
      <a:srgbClr val="D91E18"/>
    </a:custClr>
    <a:custClr name="Credit Suisse Mid Blue">
      <a:srgbClr val="004C97"/>
    </a:custClr>
    <a:custClr name="Credit Suisse Mid Turquoise">
      <a:srgbClr val="007D84"/>
    </a:custClr>
    <a:custClr name="Credit Suisse Mid Green">
      <a:srgbClr val="1F7C34"/>
    </a:custClr>
    <a:custClr name="Credit Suisse Mid Purple">
      <a:srgbClr val="633F9A"/>
    </a:custClr>
    <a:custClr name="Credit Suisse Mid Magenta">
      <a:srgbClr val="B4006E"/>
    </a:custClr>
    <a:custClr name="Credit Suisse Gray 5">
      <a:srgbClr val="7C7C7B"/>
    </a:custClr>
    <a:custClr name="Credit Suisse Gray 1">
      <a:srgbClr val="F1F2F2"/>
    </a:custClr>
    <a:custClr name="White">
      <a:srgbClr val="FFFFFF"/>
    </a:custClr>
    <a:custClr name="White">
      <a:srgbClr val="FFFFFF"/>
    </a:custClr>
    <a:custClr name="RAG Amber">
      <a:srgbClr val="FFB81C"/>
    </a:custClr>
    <a:custClr name="Credit Suisse Light Blue">
      <a:srgbClr val="ADC8E9"/>
    </a:custClr>
    <a:custClr name="Credit Suisse Light Turquoise">
      <a:srgbClr val="BFE5E2"/>
    </a:custClr>
    <a:custClr name="Credit Suisse Light Green">
      <a:srgbClr val="D5E9C1"/>
    </a:custClr>
    <a:custClr name="Credit Suisse Light Purple">
      <a:srgbClr val="D1C4E0"/>
    </a:custClr>
    <a:custClr name="Credit Suisse Light Magenta">
      <a:srgbClr val="F9C0CC"/>
    </a:custClr>
    <a:custClr name="Credit Suisse Gray 4">
      <a:srgbClr val="A8A8A7"/>
    </a:custClr>
    <a:custClr name="Credit Suisse White">
      <a:srgbClr val="FFFFFF"/>
    </a:custClr>
    <a:custClr name="White">
      <a:srgbClr val="FFFFFF"/>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32940C6D63F644875D7E3A71A65777" ma:contentTypeVersion="3" ma:contentTypeDescription="Create a new document." ma:contentTypeScope="" ma:versionID="53f58ef6306b6e42febee57805344d6e">
  <xsd:schema xmlns:xsd="http://www.w3.org/2001/XMLSchema" xmlns:xs="http://www.w3.org/2001/XMLSchema" xmlns:p="http://schemas.microsoft.com/office/2006/metadata/properties" targetNamespace="http://schemas.microsoft.com/office/2006/metadata/properties" ma:root="true" ma:fieldsID="8252db2fa3f32b543b0ef575867757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37E6-E22E-453B-ABC7-6C299E50B2B1}">
  <ds:schemaRefs>
    <ds:schemaRef ds:uri="http://schemas.microsoft.com/sharepoint/v3/contenttype/forms"/>
  </ds:schemaRefs>
</ds:datastoreItem>
</file>

<file path=customXml/itemProps2.xml><?xml version="1.0" encoding="utf-8"?>
<ds:datastoreItem xmlns:ds="http://schemas.openxmlformats.org/officeDocument/2006/customXml" ds:itemID="{9A0ACE03-F137-4AA2-9F2B-984143ED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D0B938-E3D2-47C6-8CF1-D33BCA14CF87}">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27E3DB9-1F2F-497C-B0B7-B38F0FF2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1739</Words>
  <Characters>1753</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Credit Suisse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Dandan (MOPN 531) CWR</dc:creator>
  <cp:keywords/>
  <dc:description/>
  <cp:lastModifiedBy>Li, Dandan (MOPN 531) CWR</cp:lastModifiedBy>
  <cp:revision>5</cp:revision>
  <dcterms:created xsi:type="dcterms:W3CDTF">2021-03-23T00:43:00Z</dcterms:created>
  <dcterms:modified xsi:type="dcterms:W3CDTF">2021-03-23T01:15:00Z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04a34c9-5b17-4e2a-bdc3-dec6a43f35e7">
    <vt:lpwstr>v=1.2&gt;I=304a34c9-5b17-4e2a-bdc3-dec6a43f35e7&amp;N=Unrestricted&amp;V=1.3&amp;U=S-1-5-21-1828601920-3511188894-431489442-1674043&amp;D=Li%2c+Dandan+(MOPN+531)+CWR&amp;A=Associated&amp;H=False</vt:lpwstr>
  </property>
  <property fmtid="{D5CDD505-2E9C-101B-9397-08002B2CF9AE}" pid="3" name="Classification">
    <vt:lpwstr>Unrestricted</vt:lpwstr>
  </property>
</Properties>
</file>