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EC" w:rsidRPr="00B95524" w:rsidRDefault="008672AF" w:rsidP="00B95524">
      <w:pPr>
        <w:spacing w:line="600" w:lineRule="exact"/>
        <w:jc w:val="center"/>
        <w:rPr>
          <w:rFonts w:ascii="方正小标宋简体" w:eastAsia="方正小标宋简体" w:hAnsi="仿宋"/>
          <w:sz w:val="44"/>
          <w:szCs w:val="32"/>
        </w:rPr>
      </w:pPr>
      <w:r w:rsidRPr="00B95524">
        <w:rPr>
          <w:rFonts w:ascii="方正小标宋简体" w:eastAsia="方正小标宋简体" w:hAnsi="仿宋" w:hint="eastAsia"/>
          <w:sz w:val="44"/>
          <w:szCs w:val="32"/>
        </w:rPr>
        <w:t>上市公司退市研究系列之四类退市指标的优化</w:t>
      </w:r>
    </w:p>
    <w:p w:rsidR="006704EC" w:rsidRDefault="006704EC" w:rsidP="00B95524">
      <w:pPr>
        <w:spacing w:line="600" w:lineRule="exact"/>
        <w:ind w:firstLineChars="200" w:firstLine="562"/>
        <w:jc w:val="center"/>
        <w:rPr>
          <w:rFonts w:ascii="仿宋" w:eastAsia="仿宋" w:hAnsi="仿宋"/>
          <w:b/>
          <w:sz w:val="28"/>
          <w:szCs w:val="24"/>
        </w:rPr>
      </w:pPr>
    </w:p>
    <w:p w:rsidR="006704EC" w:rsidRPr="00B95524" w:rsidRDefault="008672AF" w:rsidP="00B95524">
      <w:pPr>
        <w:spacing w:line="600" w:lineRule="exact"/>
        <w:ind w:firstLineChars="200" w:firstLine="640"/>
        <w:rPr>
          <w:rFonts w:ascii="方正仿宋简体" w:eastAsia="方正仿宋简体" w:hAnsi="仿宋"/>
          <w:sz w:val="32"/>
          <w:szCs w:val="24"/>
        </w:rPr>
      </w:pPr>
      <w:r w:rsidRPr="00B95524">
        <w:rPr>
          <w:rFonts w:ascii="方正仿宋简体" w:eastAsia="方正仿宋简体" w:hAnsi="仿宋" w:hint="eastAsia"/>
          <w:sz w:val="32"/>
          <w:szCs w:val="24"/>
        </w:rPr>
        <w:t>退市制度是资本市场的基础性制度，是全面深化资本市场改革的重要安排，形成“有进有出、优胜劣汰”的市场化、常态化退出机制，对进一步优化资源配置、提高上市公司质量、保护投资者合法权益等具有重要意义。此次退市制度的最大亮点就是优化了全部四类退市指标，有效提升了指标的针对性与实用性。</w:t>
      </w:r>
    </w:p>
    <w:p w:rsidR="006704EC" w:rsidRPr="00B95524" w:rsidRDefault="008672AF" w:rsidP="00B95524">
      <w:pPr>
        <w:spacing w:line="600" w:lineRule="exact"/>
        <w:ind w:firstLineChars="196" w:firstLine="627"/>
        <w:rPr>
          <w:rFonts w:ascii="黑体" w:eastAsia="黑体" w:hAnsi="黑体" w:cs="Arial Unicode MS"/>
          <w:color w:val="000000"/>
          <w:sz w:val="32"/>
          <w:szCs w:val="24"/>
        </w:rPr>
      </w:pPr>
      <w:r w:rsidRPr="00B95524">
        <w:rPr>
          <w:rFonts w:ascii="黑体" w:eastAsia="黑体" w:hAnsi="黑体" w:cs="Arial Unicode MS" w:hint="eastAsia"/>
          <w:color w:val="000000"/>
          <w:sz w:val="32"/>
          <w:szCs w:val="24"/>
        </w:rPr>
        <w:t>一、优化交易类指标，发挥市场资源配置功能</w:t>
      </w:r>
    </w:p>
    <w:p w:rsidR="006704EC" w:rsidRPr="00B95524" w:rsidRDefault="008672AF" w:rsidP="00B95524">
      <w:pPr>
        <w:spacing w:line="600" w:lineRule="exact"/>
        <w:ind w:firstLineChars="200" w:firstLine="643"/>
        <w:rPr>
          <w:rFonts w:ascii="方正仿宋简体" w:eastAsia="方正仿宋简体" w:hAnsi="仿宋"/>
          <w:sz w:val="32"/>
          <w:szCs w:val="24"/>
        </w:rPr>
      </w:pPr>
      <w:r w:rsidRPr="00B95524">
        <w:rPr>
          <w:rFonts w:ascii="方正仿宋简体" w:eastAsia="方正仿宋简体" w:hAnsi="仿宋" w:hint="eastAsia"/>
          <w:b/>
          <w:bCs/>
          <w:sz w:val="32"/>
          <w:szCs w:val="24"/>
        </w:rPr>
        <w:t>一是</w:t>
      </w:r>
      <w:r w:rsidRPr="00B95524">
        <w:rPr>
          <w:rFonts w:ascii="方正仿宋简体" w:eastAsia="方正仿宋简体" w:hAnsi="仿宋" w:hint="eastAsia"/>
          <w:sz w:val="32"/>
          <w:szCs w:val="24"/>
        </w:rPr>
        <w:t>明确“一元退市”标准，将“连续二十个交易日的每日股票收盘价均低于股票面值”修改为“连续二十个交易日的每日股票收盘价均低于1元”，提升规则适用的公平性和统一性，避免“股票面值”可能存在的理解歧义。</w:t>
      </w:r>
    </w:p>
    <w:p w:rsidR="006704EC" w:rsidRPr="00B95524" w:rsidRDefault="008672AF" w:rsidP="00B95524">
      <w:pPr>
        <w:spacing w:line="600" w:lineRule="exact"/>
        <w:ind w:firstLineChars="200" w:firstLine="643"/>
        <w:rPr>
          <w:rFonts w:ascii="方正仿宋简体" w:eastAsia="方正仿宋简体" w:hAnsi="仿宋"/>
          <w:sz w:val="32"/>
          <w:szCs w:val="24"/>
        </w:rPr>
      </w:pPr>
      <w:r w:rsidRPr="00B95524">
        <w:rPr>
          <w:rFonts w:ascii="方正仿宋简体" w:eastAsia="方正仿宋简体" w:hAnsi="仿宋" w:hint="eastAsia"/>
          <w:b/>
          <w:bCs/>
          <w:sz w:val="32"/>
          <w:szCs w:val="24"/>
        </w:rPr>
        <w:t>二是</w:t>
      </w:r>
      <w:r w:rsidRPr="00B95524">
        <w:rPr>
          <w:rFonts w:ascii="方正仿宋简体" w:eastAsia="方正仿宋简体" w:hAnsi="仿宋" w:hint="eastAsia"/>
          <w:sz w:val="32"/>
          <w:szCs w:val="24"/>
        </w:rPr>
        <w:t>明确“市值退市”标准，新增连续二十个交易日在交易所的股票收盘市值均低于3亿元的退市指标，充分发挥市场资源配置功能。</w:t>
      </w:r>
    </w:p>
    <w:p w:rsidR="006704EC" w:rsidRPr="00B95524" w:rsidRDefault="008672AF" w:rsidP="00B95524">
      <w:pPr>
        <w:spacing w:line="600" w:lineRule="exact"/>
        <w:ind w:firstLineChars="200" w:firstLine="640"/>
        <w:rPr>
          <w:rFonts w:ascii="方正仿宋简体" w:eastAsia="方正仿宋简体" w:hAnsi="仿宋"/>
          <w:sz w:val="32"/>
          <w:szCs w:val="24"/>
        </w:rPr>
      </w:pPr>
      <w:r w:rsidRPr="00B95524">
        <w:rPr>
          <w:rFonts w:ascii="方正仿宋简体" w:eastAsia="方正仿宋简体" w:hAnsi="仿宋" w:cs="仿宋" w:hint="eastAsia"/>
          <w:color w:val="333333"/>
          <w:sz w:val="32"/>
          <w:szCs w:val="28"/>
          <w:shd w:val="clear" w:color="auto" w:fill="FFFFFF"/>
        </w:rPr>
        <w:t>根据万得数据，</w:t>
      </w:r>
      <w:r w:rsidRPr="00B95524">
        <w:rPr>
          <w:rFonts w:ascii="方正仿宋简体" w:eastAsia="方正仿宋简体" w:hAnsi="仿宋" w:hint="eastAsia"/>
          <w:sz w:val="32"/>
          <w:szCs w:val="24"/>
        </w:rPr>
        <w:t>截至2021年4月13日，沪深交易所共有5家公司因“一元退市”标准退市。</w:t>
      </w:r>
    </w:p>
    <w:tbl>
      <w:tblPr>
        <w:tblW w:w="7565"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1995"/>
        <w:gridCol w:w="1728"/>
        <w:gridCol w:w="1973"/>
      </w:tblGrid>
      <w:tr w:rsidR="006704EC" w:rsidTr="00260439">
        <w:trPr>
          <w:trHeight w:val="315"/>
        </w:trPr>
        <w:tc>
          <w:tcPr>
            <w:tcW w:w="1869" w:type="dxa"/>
            <w:shd w:val="clear" w:color="auto" w:fill="CFCDCD" w:themeFill="background2" w:themeFillShade="E5"/>
            <w:noWrap/>
            <w:vAlign w:val="center"/>
          </w:tcPr>
          <w:p w:rsidR="006704EC" w:rsidRDefault="008672AF" w:rsidP="00B95524">
            <w:pPr>
              <w:widowControl/>
              <w:spacing w:line="600" w:lineRule="exact"/>
              <w:jc w:val="center"/>
              <w:rPr>
                <w:rFonts w:ascii="宋体" w:eastAsia="宋体" w:hAnsi="宋体" w:cs="Calibri"/>
                <w:b/>
                <w:bCs/>
                <w:kern w:val="0"/>
                <w:sz w:val="24"/>
                <w:szCs w:val="24"/>
              </w:rPr>
            </w:pPr>
            <w:r>
              <w:rPr>
                <w:rFonts w:ascii="宋体" w:eastAsia="宋体" w:hAnsi="宋体" w:cs="Calibri" w:hint="eastAsia"/>
                <w:b/>
                <w:bCs/>
                <w:kern w:val="0"/>
                <w:sz w:val="24"/>
                <w:szCs w:val="24"/>
              </w:rPr>
              <w:t>代码</w:t>
            </w:r>
          </w:p>
        </w:tc>
        <w:tc>
          <w:tcPr>
            <w:tcW w:w="1995" w:type="dxa"/>
            <w:shd w:val="clear" w:color="auto" w:fill="CFCDCD" w:themeFill="background2" w:themeFillShade="E5"/>
            <w:noWrap/>
            <w:vAlign w:val="center"/>
          </w:tcPr>
          <w:p w:rsidR="006704EC" w:rsidRDefault="008672AF" w:rsidP="00B95524">
            <w:pPr>
              <w:widowControl/>
              <w:spacing w:line="600" w:lineRule="exact"/>
              <w:jc w:val="center"/>
              <w:rPr>
                <w:rFonts w:ascii="宋体" w:eastAsia="宋体" w:hAnsi="宋体" w:cs="Calibri"/>
                <w:b/>
                <w:bCs/>
                <w:kern w:val="0"/>
                <w:sz w:val="24"/>
                <w:szCs w:val="24"/>
              </w:rPr>
            </w:pPr>
            <w:r>
              <w:rPr>
                <w:rFonts w:ascii="宋体" w:eastAsia="宋体" w:hAnsi="宋体" w:cs="Calibri" w:hint="eastAsia"/>
                <w:b/>
                <w:bCs/>
                <w:kern w:val="0"/>
                <w:sz w:val="24"/>
                <w:szCs w:val="24"/>
              </w:rPr>
              <w:t>名称</w:t>
            </w:r>
          </w:p>
        </w:tc>
        <w:tc>
          <w:tcPr>
            <w:tcW w:w="1728" w:type="dxa"/>
            <w:shd w:val="clear" w:color="auto" w:fill="CFCDCD" w:themeFill="background2" w:themeFillShade="E5"/>
            <w:noWrap/>
            <w:vAlign w:val="center"/>
          </w:tcPr>
          <w:p w:rsidR="006704EC" w:rsidRDefault="008672AF" w:rsidP="00B95524">
            <w:pPr>
              <w:widowControl/>
              <w:spacing w:line="600" w:lineRule="exact"/>
              <w:jc w:val="center"/>
              <w:rPr>
                <w:rFonts w:ascii="宋体" w:eastAsia="宋体" w:hAnsi="宋体" w:cs="Calibri"/>
                <w:b/>
                <w:bCs/>
                <w:kern w:val="0"/>
                <w:sz w:val="24"/>
                <w:szCs w:val="24"/>
              </w:rPr>
            </w:pPr>
            <w:r>
              <w:rPr>
                <w:rFonts w:ascii="宋体" w:eastAsia="宋体" w:hAnsi="宋体" w:cs="Calibri" w:hint="eastAsia"/>
                <w:b/>
                <w:bCs/>
                <w:kern w:val="0"/>
                <w:sz w:val="24"/>
                <w:szCs w:val="24"/>
              </w:rPr>
              <w:t>退市日期</w:t>
            </w:r>
          </w:p>
        </w:tc>
        <w:tc>
          <w:tcPr>
            <w:tcW w:w="1973" w:type="dxa"/>
            <w:shd w:val="clear" w:color="auto" w:fill="CFCDCD" w:themeFill="background2" w:themeFillShade="E5"/>
            <w:noWrap/>
            <w:vAlign w:val="center"/>
          </w:tcPr>
          <w:p w:rsidR="006704EC" w:rsidRDefault="008672AF" w:rsidP="00B95524">
            <w:pPr>
              <w:widowControl/>
              <w:spacing w:line="600" w:lineRule="exact"/>
              <w:jc w:val="center"/>
              <w:rPr>
                <w:rFonts w:ascii="宋体" w:eastAsia="宋体" w:hAnsi="宋体" w:cs="Calibri"/>
                <w:b/>
                <w:bCs/>
                <w:kern w:val="0"/>
                <w:sz w:val="24"/>
                <w:szCs w:val="24"/>
              </w:rPr>
            </w:pPr>
            <w:r>
              <w:rPr>
                <w:rFonts w:ascii="宋体" w:eastAsia="宋体" w:hAnsi="宋体" w:cs="Calibri" w:hint="eastAsia"/>
                <w:b/>
                <w:bCs/>
                <w:kern w:val="0"/>
                <w:sz w:val="24"/>
                <w:szCs w:val="24"/>
              </w:rPr>
              <w:t>退市时股价(元)</w:t>
            </w:r>
          </w:p>
        </w:tc>
      </w:tr>
      <w:tr w:rsidR="006704EC" w:rsidTr="00260439">
        <w:trPr>
          <w:trHeight w:val="454"/>
        </w:trPr>
        <w:tc>
          <w:tcPr>
            <w:tcW w:w="1869"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000662.SZ</w:t>
            </w:r>
          </w:p>
        </w:tc>
        <w:tc>
          <w:tcPr>
            <w:tcW w:w="1995"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天夏退(退市)</w:t>
            </w:r>
          </w:p>
        </w:tc>
        <w:tc>
          <w:tcPr>
            <w:tcW w:w="1728"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2021-04-12</w:t>
            </w:r>
          </w:p>
        </w:tc>
        <w:tc>
          <w:tcPr>
            <w:tcW w:w="1973"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0.25</w:t>
            </w:r>
          </w:p>
        </w:tc>
      </w:tr>
      <w:tr w:rsidR="006704EC" w:rsidTr="00260439">
        <w:trPr>
          <w:trHeight w:val="454"/>
        </w:trPr>
        <w:tc>
          <w:tcPr>
            <w:tcW w:w="1869"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600247.SH</w:t>
            </w:r>
          </w:p>
        </w:tc>
        <w:tc>
          <w:tcPr>
            <w:tcW w:w="1995"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*ST成城(退市)</w:t>
            </w:r>
          </w:p>
        </w:tc>
        <w:tc>
          <w:tcPr>
            <w:tcW w:w="1728"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2021-03-22</w:t>
            </w:r>
          </w:p>
        </w:tc>
        <w:tc>
          <w:tcPr>
            <w:tcW w:w="1973"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0.65</w:t>
            </w:r>
          </w:p>
        </w:tc>
      </w:tr>
      <w:tr w:rsidR="006704EC" w:rsidTr="00260439">
        <w:trPr>
          <w:trHeight w:val="454"/>
        </w:trPr>
        <w:tc>
          <w:tcPr>
            <w:tcW w:w="1869"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600978.SH</w:t>
            </w:r>
          </w:p>
        </w:tc>
        <w:tc>
          <w:tcPr>
            <w:tcW w:w="1995"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*ST宜生(退市)</w:t>
            </w:r>
          </w:p>
        </w:tc>
        <w:tc>
          <w:tcPr>
            <w:tcW w:w="1728"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2021-03-22</w:t>
            </w:r>
          </w:p>
        </w:tc>
        <w:tc>
          <w:tcPr>
            <w:tcW w:w="1973"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0.52</w:t>
            </w:r>
          </w:p>
        </w:tc>
      </w:tr>
      <w:tr w:rsidR="006704EC" w:rsidTr="00260439">
        <w:trPr>
          <w:trHeight w:val="454"/>
        </w:trPr>
        <w:tc>
          <w:tcPr>
            <w:tcW w:w="1869"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lastRenderedPageBreak/>
              <w:t>600086.SH</w:t>
            </w:r>
          </w:p>
        </w:tc>
        <w:tc>
          <w:tcPr>
            <w:tcW w:w="1995"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退市金钰(退市)</w:t>
            </w:r>
          </w:p>
        </w:tc>
        <w:tc>
          <w:tcPr>
            <w:tcW w:w="1728"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2021-03-17</w:t>
            </w:r>
          </w:p>
        </w:tc>
        <w:tc>
          <w:tcPr>
            <w:tcW w:w="1973"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0.16</w:t>
            </w:r>
          </w:p>
        </w:tc>
      </w:tr>
      <w:tr w:rsidR="006704EC" w:rsidTr="00260439">
        <w:trPr>
          <w:trHeight w:val="454"/>
        </w:trPr>
        <w:tc>
          <w:tcPr>
            <w:tcW w:w="1869"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600687.SH</w:t>
            </w:r>
          </w:p>
        </w:tc>
        <w:tc>
          <w:tcPr>
            <w:tcW w:w="1995"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退市刚泰(退市)</w:t>
            </w:r>
          </w:p>
        </w:tc>
        <w:tc>
          <w:tcPr>
            <w:tcW w:w="1728"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2021-03-03</w:t>
            </w:r>
          </w:p>
        </w:tc>
        <w:tc>
          <w:tcPr>
            <w:tcW w:w="1973" w:type="dxa"/>
            <w:shd w:val="clear" w:color="auto" w:fill="auto"/>
            <w:noWrap/>
            <w:vAlign w:val="bottom"/>
          </w:tcPr>
          <w:p w:rsidR="006704EC" w:rsidRDefault="008672AF" w:rsidP="00B95524">
            <w:pPr>
              <w:widowControl/>
              <w:spacing w:line="600" w:lineRule="exact"/>
              <w:jc w:val="center"/>
              <w:rPr>
                <w:rFonts w:ascii="宋体" w:eastAsia="宋体" w:hAnsi="宋体" w:cs="Calibri"/>
                <w:kern w:val="0"/>
                <w:sz w:val="22"/>
              </w:rPr>
            </w:pPr>
            <w:r>
              <w:rPr>
                <w:rFonts w:ascii="宋体" w:eastAsia="宋体" w:hAnsi="宋体" w:cs="Calibri" w:hint="eastAsia"/>
                <w:kern w:val="0"/>
                <w:sz w:val="22"/>
              </w:rPr>
              <w:t>0.30</w:t>
            </w:r>
          </w:p>
        </w:tc>
      </w:tr>
    </w:tbl>
    <w:p w:rsidR="006704EC" w:rsidRDefault="006704EC" w:rsidP="00B95524">
      <w:pPr>
        <w:spacing w:line="600" w:lineRule="exact"/>
        <w:ind w:firstLineChars="200" w:firstLine="560"/>
        <w:rPr>
          <w:rFonts w:ascii="仿宋" w:eastAsia="仿宋" w:hAnsi="仿宋"/>
          <w:sz w:val="28"/>
          <w:szCs w:val="24"/>
        </w:rPr>
      </w:pPr>
    </w:p>
    <w:p w:rsidR="006704EC" w:rsidRPr="00B95524" w:rsidRDefault="008672AF" w:rsidP="00B95524">
      <w:pPr>
        <w:spacing w:line="600" w:lineRule="exact"/>
        <w:ind w:firstLineChars="196" w:firstLine="627"/>
        <w:rPr>
          <w:rFonts w:ascii="黑体" w:eastAsia="黑体" w:hAnsi="黑体"/>
          <w:sz w:val="32"/>
          <w:szCs w:val="32"/>
        </w:rPr>
      </w:pPr>
      <w:r w:rsidRPr="00B95524">
        <w:rPr>
          <w:rFonts w:ascii="黑体" w:eastAsia="黑体" w:hAnsi="黑体" w:hint="eastAsia"/>
          <w:sz w:val="32"/>
          <w:szCs w:val="32"/>
        </w:rPr>
        <w:t>二、优化财务类指标，推动僵尸空壳、造假企业出清</w:t>
      </w:r>
    </w:p>
    <w:p w:rsidR="006704EC" w:rsidRPr="00B95524" w:rsidRDefault="008672AF" w:rsidP="00B95524">
      <w:pPr>
        <w:spacing w:line="600" w:lineRule="exact"/>
        <w:ind w:firstLineChars="200" w:firstLine="643"/>
        <w:rPr>
          <w:rFonts w:ascii="方正仿宋简体" w:eastAsia="方正仿宋简体" w:hAnsi="仿宋"/>
          <w:sz w:val="32"/>
          <w:szCs w:val="32"/>
        </w:rPr>
      </w:pPr>
      <w:r w:rsidRPr="00B95524">
        <w:rPr>
          <w:rFonts w:ascii="方正仿宋简体" w:eastAsia="方正仿宋简体" w:hAnsi="仿宋" w:hint="eastAsia"/>
          <w:b/>
          <w:bCs/>
          <w:sz w:val="32"/>
          <w:szCs w:val="32"/>
        </w:rPr>
        <w:t>一是</w:t>
      </w:r>
      <w:r w:rsidRPr="00B95524">
        <w:rPr>
          <w:rFonts w:ascii="方正仿宋简体" w:eastAsia="方正仿宋简体" w:hAnsi="仿宋" w:hint="eastAsia"/>
          <w:sz w:val="32"/>
          <w:szCs w:val="32"/>
        </w:rPr>
        <w:t>新增“扣非前后净利润孰低者为负值且营业收入低于1亿元”的组合型退市指标，取消“单一净利润为负值”和“营业收入低于1000万”的指标，从主营业务盈利能力、营收规模等方面对上市公司持续经营能力进行多维度考察，推动僵尸空壳企业出清。</w:t>
      </w:r>
    </w:p>
    <w:p w:rsidR="006704EC" w:rsidRPr="00B95524" w:rsidRDefault="008672AF" w:rsidP="00B95524">
      <w:pPr>
        <w:spacing w:line="600" w:lineRule="exact"/>
        <w:ind w:firstLineChars="200" w:firstLine="643"/>
        <w:rPr>
          <w:rFonts w:ascii="方正仿宋简体" w:eastAsia="方正仿宋简体" w:hAnsi="仿宋"/>
          <w:sz w:val="32"/>
          <w:szCs w:val="32"/>
        </w:rPr>
      </w:pPr>
      <w:r w:rsidRPr="00B95524">
        <w:rPr>
          <w:rFonts w:ascii="方正仿宋简体" w:eastAsia="方正仿宋简体" w:hAnsi="仿宋" w:hint="eastAsia"/>
          <w:b/>
          <w:bCs/>
          <w:sz w:val="32"/>
          <w:szCs w:val="32"/>
        </w:rPr>
        <w:t>二是</w:t>
      </w:r>
      <w:r w:rsidRPr="00B95524">
        <w:rPr>
          <w:rFonts w:ascii="方正仿宋简体" w:eastAsia="方正仿宋简体" w:hAnsi="仿宋" w:hint="eastAsia"/>
          <w:sz w:val="32"/>
          <w:szCs w:val="32"/>
        </w:rPr>
        <w:t>修订财务类退市指标，并明确组合适用，净利润加营业收入的组合指标、净资产和审计意见类型等，因出现上述任一情形被实施退市风险警示的上市公司，如在次年年度报告披露后再次触及上述任一情形的，公司股票终止上市。</w:t>
      </w:r>
    </w:p>
    <w:p w:rsidR="006704EC" w:rsidRPr="00B95524" w:rsidRDefault="008672AF" w:rsidP="00B95524">
      <w:pPr>
        <w:spacing w:line="600" w:lineRule="exact"/>
        <w:ind w:firstLineChars="200" w:firstLine="643"/>
        <w:rPr>
          <w:rFonts w:ascii="方正仿宋简体" w:eastAsia="方正仿宋简体" w:hAnsi="仿宋"/>
          <w:sz w:val="32"/>
          <w:szCs w:val="32"/>
        </w:rPr>
      </w:pPr>
      <w:r w:rsidRPr="00B95524">
        <w:rPr>
          <w:rFonts w:ascii="方正仿宋简体" w:eastAsia="方正仿宋简体" w:hAnsi="仿宋" w:hint="eastAsia"/>
          <w:b/>
          <w:bCs/>
          <w:sz w:val="32"/>
          <w:szCs w:val="32"/>
        </w:rPr>
        <w:t>三是</w:t>
      </w:r>
      <w:r w:rsidRPr="00B95524">
        <w:rPr>
          <w:rFonts w:ascii="方正仿宋简体" w:eastAsia="方正仿宋简体" w:hAnsi="仿宋" w:hint="eastAsia"/>
          <w:sz w:val="32"/>
          <w:szCs w:val="32"/>
        </w:rPr>
        <w:t>新增行政处罚决定书认定的财务造假退市风险警示指标。证监会行政处罚决定书表明，公司已披露的最近一个会计年度经审计财务报告存在虚假记载、误导性陈述或者重大遗漏，导致相关财务指标触及退市风险警示情形的，公司股票将于披露处罚决定书后被实施退市风险警示，并根据实际触及退市风险警示指标相应年度的次一年度的年度报告情况，对公司股票交易撤销退市风险警示或者予以“退市”处理。</w:t>
      </w:r>
    </w:p>
    <w:p w:rsidR="006704EC" w:rsidRPr="00B95524" w:rsidRDefault="008672AF" w:rsidP="00B95524">
      <w:pPr>
        <w:spacing w:line="600" w:lineRule="exact"/>
        <w:ind w:firstLineChars="200" w:firstLine="640"/>
        <w:rPr>
          <w:rFonts w:ascii="黑体" w:eastAsia="黑体" w:hAnsi="黑体"/>
          <w:sz w:val="32"/>
          <w:szCs w:val="32"/>
        </w:rPr>
      </w:pPr>
      <w:r w:rsidRPr="00B95524">
        <w:rPr>
          <w:rFonts w:ascii="黑体" w:eastAsia="黑体" w:hAnsi="黑体" w:hint="eastAsia"/>
          <w:sz w:val="32"/>
          <w:szCs w:val="32"/>
        </w:rPr>
        <w:t>三、优化规范类指标，增强上市公司法治、诚信意识</w:t>
      </w:r>
    </w:p>
    <w:p w:rsidR="006704EC" w:rsidRPr="00B95524" w:rsidRDefault="008672AF" w:rsidP="00B95524">
      <w:pPr>
        <w:spacing w:line="600" w:lineRule="exact"/>
        <w:ind w:firstLineChars="200" w:firstLine="643"/>
        <w:rPr>
          <w:rFonts w:ascii="方正仿宋简体" w:eastAsia="方正仿宋简体" w:hAnsi="仿宋" w:cs="Arial Unicode MS"/>
          <w:color w:val="000000"/>
          <w:sz w:val="32"/>
          <w:szCs w:val="32"/>
        </w:rPr>
      </w:pPr>
      <w:r w:rsidRPr="00B95524">
        <w:rPr>
          <w:rFonts w:ascii="方正仿宋简体" w:eastAsia="方正仿宋简体" w:hAnsi="仿宋" w:cs="Arial Unicode MS" w:hint="eastAsia"/>
          <w:b/>
          <w:color w:val="000000"/>
          <w:sz w:val="32"/>
          <w:szCs w:val="32"/>
        </w:rPr>
        <w:t>一是</w:t>
      </w:r>
      <w:r w:rsidRPr="00B95524">
        <w:rPr>
          <w:rFonts w:ascii="方正仿宋简体" w:eastAsia="方正仿宋简体" w:hAnsi="仿宋" w:cs="Arial Unicode MS" w:hint="eastAsia"/>
          <w:color w:val="000000"/>
          <w:sz w:val="32"/>
          <w:szCs w:val="32"/>
        </w:rPr>
        <w:t>新增信息披露或者规范运作等方面的退市指标。具体包括：1.交易所失去公司有效信息来源或者公司失去信息披露联络渠道；2.公司拒不披露应当披露的重大信息；3.公司严重扰乱信息披露秩序，并造成恶劣影响；4.交易所认为公司存在信息披露或者规范运作重大缺陷的其他情形。上市公司如触及上述相关情形被交易所要求限期改正但未在规定期限内改正的，交易所对公司股票予以停牌，在停牌2个月内仍未改正的，交易所对其实施退市风险警示；此后2个月内仍未改正的，交易所对公司股票予以终止上市。</w:t>
      </w:r>
    </w:p>
    <w:p w:rsidR="006704EC" w:rsidRPr="00B95524" w:rsidRDefault="008672AF" w:rsidP="00B95524">
      <w:pPr>
        <w:spacing w:line="600" w:lineRule="exact"/>
        <w:ind w:firstLineChars="200" w:firstLine="643"/>
        <w:rPr>
          <w:rFonts w:ascii="方正仿宋简体" w:eastAsia="方正仿宋简体" w:hAnsi="仿宋" w:cs="Arial Unicode MS"/>
          <w:color w:val="000000"/>
          <w:sz w:val="32"/>
          <w:szCs w:val="32"/>
        </w:rPr>
      </w:pPr>
      <w:r w:rsidRPr="00B95524">
        <w:rPr>
          <w:rFonts w:ascii="方正仿宋简体" w:eastAsia="方正仿宋简体" w:hAnsi="仿宋" w:cs="Arial Unicode MS" w:hint="eastAsia"/>
          <w:b/>
          <w:color w:val="000000"/>
          <w:sz w:val="32"/>
          <w:szCs w:val="32"/>
        </w:rPr>
        <w:t>二是</w:t>
      </w:r>
      <w:r w:rsidRPr="00B95524">
        <w:rPr>
          <w:rFonts w:ascii="方正仿宋简体" w:eastAsia="方正仿宋简体" w:hAnsi="仿宋" w:cs="Arial Unicode MS" w:hint="eastAsia"/>
          <w:color w:val="000000"/>
          <w:sz w:val="32"/>
          <w:szCs w:val="32"/>
        </w:rPr>
        <w:t>明确董监高人员在定期报告编制及披露工作中的履职义务。考虑到实践中个别公司出现半数以上董事不保证年报真实、准确、完整的情形，为严肃半年度报告或年度报告编制及披露工作，新增半数以上董事无法保证公司所披露半年度报告或年度报告的真实、准确和完整的退市指标。若上市公司出现上述情形且在公司股票停牌2个月内仍未改正的，将被实施退市风险警示；此后2个月内仍未改正的，交易所对公司股票予以终止上市。</w:t>
      </w:r>
    </w:p>
    <w:p w:rsidR="006704EC" w:rsidRPr="00B95524" w:rsidRDefault="008672AF" w:rsidP="00B95524">
      <w:pPr>
        <w:spacing w:line="600" w:lineRule="exact"/>
        <w:ind w:firstLineChars="196" w:firstLine="627"/>
        <w:rPr>
          <w:rFonts w:ascii="黑体" w:eastAsia="黑体" w:hAnsi="黑体"/>
          <w:sz w:val="32"/>
          <w:szCs w:val="32"/>
        </w:rPr>
      </w:pPr>
      <w:r w:rsidRPr="00B95524">
        <w:rPr>
          <w:rFonts w:ascii="黑体" w:eastAsia="黑体" w:hAnsi="黑体" w:hint="eastAsia"/>
          <w:sz w:val="32"/>
          <w:szCs w:val="32"/>
        </w:rPr>
        <w:t xml:space="preserve">四、完善重大违法强制退市类指标，加大违法违规行为惩诫力度 </w:t>
      </w:r>
    </w:p>
    <w:p w:rsidR="006704EC" w:rsidRPr="00B95524" w:rsidRDefault="008672AF" w:rsidP="00B95524">
      <w:pPr>
        <w:spacing w:line="600" w:lineRule="exact"/>
        <w:ind w:firstLineChars="200" w:firstLine="640"/>
        <w:rPr>
          <w:rFonts w:ascii="方正仿宋简体" w:eastAsia="方正仿宋简体" w:hAnsi="仿宋"/>
          <w:sz w:val="32"/>
          <w:szCs w:val="32"/>
        </w:rPr>
      </w:pPr>
      <w:r w:rsidRPr="00B95524">
        <w:rPr>
          <w:rFonts w:ascii="方正仿宋简体" w:eastAsia="方正仿宋简体" w:hAnsi="仿宋" w:hint="eastAsia"/>
          <w:sz w:val="32"/>
          <w:szCs w:val="32"/>
        </w:rPr>
        <w:t>在保留原有重大违法强制退市指标的基础上，针对造假情形严重、影响恶劣但未触及现有重大违法指标的情况，新增量化可执行的财务造假强制退市指标，进一步提升了重大违法退市标准的完整性。根据中国证监会行政处罚决定认定的事实，具体指标包括：1.上市公司披露的营业收入连续两年均存在虚假记载，虚假记载的营业收入金额合计达到5亿元以上，且超过该两年披露的年度营业收入合计金额的50%；2.公司披露的净利润连续两年均存在虚假记载，虚假记载的净利润金额合计达到5亿元以上，且超过该两年披露的年度净利润合计金额的50%；3.公司披露的利润总额连续两年均存在虚假记载，虚假记载的利润总额金额合计达到5亿元以上，且超过该两年披露的年度利润总额合计金额的50%；4.公司披露的资产负债表连续两年均存在虚假记载，资产负债表虚假记载金额合计达到5亿元以上，且超过该两年披露的年度期末净资产合计金额的50%。（计算前述合计数时，相关财务数据为负值的，取绝对值后合计计算）。</w:t>
      </w:r>
    </w:p>
    <w:p w:rsidR="006704EC" w:rsidRPr="00B95524" w:rsidRDefault="008672AF" w:rsidP="00B95524">
      <w:pPr>
        <w:spacing w:line="600" w:lineRule="exact"/>
        <w:ind w:firstLineChars="200" w:firstLine="640"/>
        <w:rPr>
          <w:rFonts w:ascii="方正仿宋简体" w:eastAsia="方正仿宋简体" w:hAnsi="仿宋"/>
          <w:sz w:val="32"/>
          <w:szCs w:val="32"/>
        </w:rPr>
      </w:pPr>
      <w:r w:rsidRPr="00B95524">
        <w:rPr>
          <w:rFonts w:ascii="方正仿宋简体" w:eastAsia="方正仿宋简体" w:hAnsi="仿宋" w:hint="eastAsia"/>
          <w:sz w:val="32"/>
          <w:szCs w:val="32"/>
        </w:rPr>
        <w:t>（本文致力于研究沪深交易所共性的退市制度修改情况，两所规则制定中的文字会有些许不同，请中小投资者注意以沪深交易所股票上市规则为准。）</w:t>
      </w:r>
      <w:bookmarkStart w:id="0" w:name="_GoBack"/>
      <w:bookmarkEnd w:id="0"/>
    </w:p>
    <w:sectPr w:rsidR="006704EC" w:rsidRPr="00B95524" w:rsidSect="006704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4E3" w:rsidRDefault="008134E3" w:rsidP="00B95524">
      <w:r>
        <w:separator/>
      </w:r>
    </w:p>
  </w:endnote>
  <w:endnote w:type="continuationSeparator" w:id="1">
    <w:p w:rsidR="008134E3" w:rsidRDefault="008134E3" w:rsidP="00B955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4E3" w:rsidRDefault="008134E3" w:rsidP="00B95524">
      <w:r>
        <w:separator/>
      </w:r>
    </w:p>
  </w:footnote>
  <w:footnote w:type="continuationSeparator" w:id="1">
    <w:p w:rsidR="008134E3" w:rsidRDefault="008134E3" w:rsidP="00B955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AE"/>
    <w:rsid w:val="00011790"/>
    <w:rsid w:val="000C6F2F"/>
    <w:rsid w:val="00125A37"/>
    <w:rsid w:val="001D16AE"/>
    <w:rsid w:val="00260439"/>
    <w:rsid w:val="003023A5"/>
    <w:rsid w:val="00304856"/>
    <w:rsid w:val="003070D4"/>
    <w:rsid w:val="00323836"/>
    <w:rsid w:val="00387C7F"/>
    <w:rsid w:val="003D1824"/>
    <w:rsid w:val="00471935"/>
    <w:rsid w:val="00547D0F"/>
    <w:rsid w:val="00574296"/>
    <w:rsid w:val="005850BD"/>
    <w:rsid w:val="005E4AB2"/>
    <w:rsid w:val="006704EC"/>
    <w:rsid w:val="00732A2E"/>
    <w:rsid w:val="0076637C"/>
    <w:rsid w:val="007A61EF"/>
    <w:rsid w:val="007D2FF4"/>
    <w:rsid w:val="008134E3"/>
    <w:rsid w:val="008672AF"/>
    <w:rsid w:val="00974A30"/>
    <w:rsid w:val="00986F36"/>
    <w:rsid w:val="009D7DEF"/>
    <w:rsid w:val="00AE0064"/>
    <w:rsid w:val="00B33483"/>
    <w:rsid w:val="00B95524"/>
    <w:rsid w:val="00C55727"/>
    <w:rsid w:val="00D0313F"/>
    <w:rsid w:val="00ED76C1"/>
    <w:rsid w:val="00EF687F"/>
    <w:rsid w:val="00FA700F"/>
    <w:rsid w:val="0F0F5FD9"/>
    <w:rsid w:val="185431FA"/>
    <w:rsid w:val="198C3640"/>
    <w:rsid w:val="2DDA6C53"/>
    <w:rsid w:val="79365936"/>
    <w:rsid w:val="7A7267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4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704EC"/>
    <w:pPr>
      <w:tabs>
        <w:tab w:val="center" w:pos="4153"/>
        <w:tab w:val="right" w:pos="8306"/>
      </w:tabs>
      <w:snapToGrid w:val="0"/>
      <w:jc w:val="left"/>
    </w:pPr>
    <w:rPr>
      <w:sz w:val="18"/>
      <w:szCs w:val="18"/>
    </w:rPr>
  </w:style>
  <w:style w:type="paragraph" w:styleId="a4">
    <w:name w:val="header"/>
    <w:basedOn w:val="a"/>
    <w:link w:val="Char0"/>
    <w:uiPriority w:val="99"/>
    <w:unhideWhenUsed/>
    <w:rsid w:val="006704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704EC"/>
    <w:rPr>
      <w:sz w:val="18"/>
      <w:szCs w:val="18"/>
    </w:rPr>
  </w:style>
  <w:style w:type="character" w:customStyle="1" w:styleId="Char">
    <w:name w:val="页脚 Char"/>
    <w:basedOn w:val="a0"/>
    <w:link w:val="a3"/>
    <w:uiPriority w:val="99"/>
    <w:qFormat/>
    <w:rsid w:val="006704E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4</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zhaoxue</dc:creator>
  <cp:lastModifiedBy>孟德宾</cp:lastModifiedBy>
  <cp:revision>11</cp:revision>
  <dcterms:created xsi:type="dcterms:W3CDTF">2021-04-09T06:37:00Z</dcterms:created>
  <dcterms:modified xsi:type="dcterms:W3CDTF">2022-03-22T06:27:00Z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